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附件3 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管涵（隧洞、倒虹吸）标准化管理评价标准</w:t>
      </w:r>
    </w:p>
    <w:tbl>
      <w:tblPr>
        <w:tblStyle w:val="13"/>
        <w:tblW w:w="14847" w:type="dxa"/>
        <w:jc w:val="center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3"/>
        <w:gridCol w:w="773"/>
        <w:gridCol w:w="2288"/>
        <w:gridCol w:w="4560"/>
        <w:gridCol w:w="701"/>
        <w:gridCol w:w="5902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  <w:tblHeader/>
          <w:jc w:val="center"/>
        </w:trPr>
        <w:tc>
          <w:tcPr>
            <w:tcW w:w="623" w:type="dxa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类别</w:t>
            </w:r>
          </w:p>
        </w:tc>
        <w:tc>
          <w:tcPr>
            <w:tcW w:w="773" w:type="dxa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项目</w:t>
            </w:r>
          </w:p>
        </w:tc>
        <w:tc>
          <w:tcPr>
            <w:tcW w:w="2288" w:type="dxa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标准化基本要求</w:t>
            </w:r>
          </w:p>
        </w:tc>
        <w:tc>
          <w:tcPr>
            <w:tcW w:w="11163" w:type="dxa"/>
            <w:gridSpan w:val="3"/>
            <w:tcBorders>
              <w:tl2br w:val="nil"/>
              <w:tr2bl w:val="nil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水利部评价标准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  <w:tblHeader/>
          <w:jc w:val="center"/>
        </w:trPr>
        <w:tc>
          <w:tcPr>
            <w:tcW w:w="623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73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288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560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评价内容及要求</w:t>
            </w:r>
          </w:p>
        </w:tc>
        <w:tc>
          <w:tcPr>
            <w:tcW w:w="701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标准分</w:t>
            </w:r>
          </w:p>
        </w:tc>
        <w:tc>
          <w:tcPr>
            <w:tcW w:w="5902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评价指标及赋分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623" w:type="dxa"/>
            <w:vMerge w:val="restar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13" w:right="113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一 工程状况（230分）</w:t>
            </w:r>
          </w:p>
        </w:tc>
        <w:tc>
          <w:tcPr>
            <w:tcW w:w="773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1.工程面貌与环境</w:t>
            </w:r>
          </w:p>
        </w:tc>
        <w:tc>
          <w:tcPr>
            <w:tcW w:w="228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①工程整体完好。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②工程管理范围内整洁有序</w:t>
            </w:r>
          </w:p>
        </w:tc>
        <w:tc>
          <w:tcPr>
            <w:tcW w:w="456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" w:eastAsia="zh-CN" w:bidi="ar"/>
              </w:rPr>
              <w:t>①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工程整体完好、安全和正常运用，输水畅通。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②管理范围内无杂物堆放，无违章建筑和危害工程安全的活动</w:t>
            </w:r>
          </w:p>
        </w:tc>
        <w:tc>
          <w:tcPr>
            <w:tcW w:w="701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590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①工程破损严重，无法安全、正常运行，本项不得分。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②工程存在部分缺陷，但能按设计运行，扣10分。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③管理范围内堆放杂物，环境不美观，扣5分；有违章建筑和危害工程安全的活动，扣10分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23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13" w:right="113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73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2.管涵工程</w:t>
            </w:r>
          </w:p>
        </w:tc>
        <w:tc>
          <w:tcPr>
            <w:tcW w:w="228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①管（涵）顶防护设施完好。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②管（涵）身附近填土情况正常。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③管（涵）身段、PCCP管道正常运行。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④通气孔、检修孔等完好，保水堰、连接井、检修孔、通气孔等园区围墙或隔离网完好</w:t>
            </w:r>
          </w:p>
        </w:tc>
        <w:tc>
          <w:tcPr>
            <w:tcW w:w="456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" w:eastAsia="zh-CN" w:bidi="ar"/>
              </w:rPr>
              <w:t>①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管（涵）顶防护设施完好，无大量渣土、石堆等堆积现象。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②管（涵）身附近填土完好，无洇湿、塌陷、冲刷坑。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③管（涵）身段或结构缝无渗水，PCCP管道无断丝；相邻管（涵）节移动、错位在允许范围，防渗、防腐材料完好。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④通气孔、检修孔等完好，保水堰、连接井、检修孔、通气孔等园区围墙或隔离网完好</w:t>
            </w:r>
            <w:bookmarkStart w:id="0" w:name="_GoBack"/>
            <w:bookmarkEnd w:id="0"/>
          </w:p>
        </w:tc>
        <w:tc>
          <w:tcPr>
            <w:tcW w:w="701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590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①管（涵）顶防护设施严重沉陷、损坏、冲毁，顶部裸露，扣10分；管（涵）顶存在大量渣土、石堆等堆积现象，扣２分。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②管（涵）身附近填土出现洇湿，局部出现小面积塌陷，扣２分；管（涵）身附近填土出现饱和状态，或出现大面积塌陷，扣10分；管（涵）身及两侧50米范围内出现冲刷坑，扣４分。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③管（涵）身段或结构缝渗水，扣5分；相邻管（涵）节移动、错位变形超出允许值，扣5分；管（涵）节之间聚脲、碳纤维布等防渗、防腐材料局部脱落、开裂，扣３分；PCCP管道断丝，扣４分。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④暗涵、PCCP管等的通气孔、检修孔等损坏，扣３分；保水堰、连接井、检修孔、通气孔等园区围墙破损、裂缝或隔离网缺失、锈蚀，扣２分；保水堰、连接井、检修孔、通气孔等周边地面塌陷，扣５分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2" w:hRule="atLeast"/>
          <w:jc w:val="center"/>
        </w:trPr>
        <w:tc>
          <w:tcPr>
            <w:tcW w:w="623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13" w:right="113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73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3.隧洞工程</w:t>
            </w:r>
          </w:p>
        </w:tc>
        <w:tc>
          <w:tcPr>
            <w:tcW w:w="228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①进出口边坡稳定完好。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②隧洞支护结构完好，排水系统完好，地表及洞口边坡正常；封堵体完好无明显渗水。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③隧（涵）洞沿线无引起地质、地貌明显变化的自然和人为活动</w:t>
            </w:r>
          </w:p>
        </w:tc>
        <w:tc>
          <w:tcPr>
            <w:tcW w:w="456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" w:eastAsia="zh-CN" w:bidi="ar"/>
              </w:rPr>
              <w:t>①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进出口边坡稳定完好。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②隧洞支护结构完好，排水系统完好，排水正常，地表及洞口边坡无明显变形、渗水、涌水或滑坡等现象；封堵体完好无裂缝、变形和明显渗水情况。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③隧（涵）洞沿线无引起地质、地貌明显变化的自然和人为活动</w:t>
            </w:r>
          </w:p>
        </w:tc>
        <w:tc>
          <w:tcPr>
            <w:tcW w:w="701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590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①进出口边坡垮塌，扣15分；进出口边坡不稳定（如防护结构松动脱落等），扣5分。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②隧洞支护结构损坏，存在变形、裂缝、错位、渗水、腐蚀、析钙等现象，扣10分；排水系统损坏，排水不畅，扣５分；地表及洞口边坡存在明显变形、渗水、涌水或滑坡等现象，扣10分；封堵体破损、存在明显渗水情况，扣５分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③隧（涵）洞沿线存在引起地质、地貌明显变化的自然和人为活动，扣5分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3" w:hRule="atLeast"/>
          <w:jc w:val="center"/>
        </w:trPr>
        <w:tc>
          <w:tcPr>
            <w:tcW w:w="623" w:type="dxa"/>
            <w:vMerge w:val="restar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13" w:right="113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一 工程状况（230分）</w:t>
            </w:r>
          </w:p>
        </w:tc>
        <w:tc>
          <w:tcPr>
            <w:tcW w:w="773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4.下穿工程</w:t>
            </w:r>
          </w:p>
        </w:tc>
        <w:tc>
          <w:tcPr>
            <w:tcW w:w="228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①进出口翼墙、平台完好，与渠堤衔接部位情况正常。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②进出口翼墙排水管完好、畅通，进出口连接段情况正常。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③管身段相邻管节内部无不均匀沉降，管身段附近回填土无塌陷现象</w:t>
            </w:r>
          </w:p>
        </w:tc>
        <w:tc>
          <w:tcPr>
            <w:tcW w:w="456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" w:eastAsia="zh-CN" w:bidi="ar"/>
              </w:rPr>
              <w:t>①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进出口翼墙沉降、位移、倾斜满足要求，进出口平台完好，无沉陷、开裂现象，进出口与渠堤衔接部位完好，无冲刷掏空、塌陷。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②进出口翼墙排水管完好、畅通，进出口连接段畅通无淤堵，管身内部无渗漏水。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③管身段相邻管节内部无不均匀沉降，管身段附近回填土无塌陷现象</w:t>
            </w:r>
          </w:p>
        </w:tc>
        <w:tc>
          <w:tcPr>
            <w:tcW w:w="701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590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①进出口翼墙沉降、位移、倾斜超出允许值，扣５分；进出口平台存在沉陷、开裂现象，扣２分；进出口与渠堤衔接部位出现冲刷掏空、塌陷现象，扣４分。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②进出口翼墙排水管损坏、堵塞，扣１分；进出口连接段排水不畅，堵塞淤积，扣１分；管身内部或结构缝渗水，扣２分；管节之间聚脲、碳纤维布等防渗材料局部脱落、开裂，扣２分。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③管身段相邻管节内部存在不均匀沉降，扣２分；管身段附近回填土严重塌陷，扣１分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1" w:hRule="atLeast"/>
          <w:jc w:val="center"/>
        </w:trPr>
        <w:tc>
          <w:tcPr>
            <w:tcW w:w="623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13" w:right="113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73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5.金属结构与机电设备</w:t>
            </w:r>
          </w:p>
        </w:tc>
        <w:tc>
          <w:tcPr>
            <w:tcW w:w="228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①闸门及启闭设施完好，运行正常。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" w:eastAsia="zh-CN" w:bidi="ar"/>
              </w:rPr>
              <w:t>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电设备和电源保障正常</w:t>
            </w:r>
          </w:p>
        </w:tc>
        <w:tc>
          <w:tcPr>
            <w:tcW w:w="456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" w:eastAsia="zh-CN" w:bidi="ar"/>
              </w:rPr>
              <w:t>①闸门及启闭机设施完好，运行正常。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" w:eastAsia="zh-CN" w:bidi="ar"/>
              </w:rPr>
              <w:t>门槽、钢丝绳、螺杆、液压部件、支座、止水正常，电气设备、供电电源正常，备用电源保障条件良好。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③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" w:eastAsia="zh-CN" w:bidi="ar"/>
              </w:rPr>
              <w:t>启闭机房满足运行要求，定期开展闸门、启闭机安全检测与设备等级评定</w:t>
            </w:r>
          </w:p>
        </w:tc>
        <w:tc>
          <w:tcPr>
            <w:tcW w:w="701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590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" w:eastAsia="zh-CN" w:bidi="ar"/>
              </w:rPr>
              <w:t>①闸门及启闭设施存在变形、锈蚀问题，门槽结构、钢丝绳、螺杆、液压部件、行走支承、止水封条、限位装置存在缺陷，扣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" w:eastAsia="zh-CN" w:bidi="ar"/>
              </w:rPr>
              <w:t>分。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" w:eastAsia="zh-CN" w:bidi="ar"/>
              </w:rPr>
              <w:t>②启闭机、电器设备、供电和备用电源存在老化、漏电、漏油、不稳定问题，扣1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" w:eastAsia="zh-CN" w:bidi="ar"/>
              </w:rPr>
              <w:t>分。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" w:eastAsia="zh-CN" w:bidi="ar"/>
              </w:rPr>
              <w:t>③启闭机房不完整、启闭设备未得到有效保护，或启闭机房破损，扣5分。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" w:eastAsia="zh-CN" w:bidi="ar"/>
              </w:rPr>
              <w:t>④未定期开展闸门、启闭机安全检测及设备等级评定，扣5分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3" w:hRule="atLeast"/>
          <w:jc w:val="center"/>
        </w:trPr>
        <w:tc>
          <w:tcPr>
            <w:tcW w:w="623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13" w:right="113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73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6.管理及防护设施</w:t>
            </w:r>
          </w:p>
        </w:tc>
        <w:tc>
          <w:tcPr>
            <w:tcW w:w="228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①办公、生产和辅助用房等建筑物满足运行要求。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②防汛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" w:eastAsia="zh-CN" w:bidi="ar"/>
              </w:rPr>
              <w:t>物资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、备用电源、通信设施、交通工具、维修养护设备、供水及消防设施、照明设施、有毒有害气体防护措施等满足运行要求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456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" w:eastAsia="zh-CN" w:bidi="ar"/>
              </w:rPr>
              <w:t>①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办公、生产和辅助用房等建筑物结构安全，内外墙完好，无裂缝、洇湿，屋顶完好、无漏雨。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②防汛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" w:eastAsia="zh-CN" w:bidi="ar"/>
              </w:rPr>
              <w:t>物资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、备用电源、通信设施、交通工具、维修养护设备、供水及消防设施、照明设施等完好、有效。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③场区排水系统完好，排水顺畅。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④隔离网、防护栏杆完好无锈蚀。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⑤配备有毒有害气体检测设备</w:t>
            </w:r>
          </w:p>
        </w:tc>
        <w:tc>
          <w:tcPr>
            <w:tcW w:w="701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590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①办公、生产和辅助用房等建筑物结构失稳，存在安全隐患，扣10分；存在内外墙破损、裂缝、掉皮，门窗损坏等现象，扣1分；建筑物存在洇湿、渗漏现象，屋顶损坏存在漏雨现象，扣1分。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②防汛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" w:eastAsia="zh-CN" w:bidi="ar"/>
              </w:rPr>
              <w:t>物资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缺失、仓储不到位，扣3分；备用电源故障无法运行，扣2分；通信设施故障，扣2分；交通工具、维修养护设备损坏缺失，扣2分；供水及消防设施损坏，扣3分；照明设施故障，扣1分。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③场区排水系统故障无法运行，扣2分；排水达不到要求，扣1分。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④隔离网、防护栏杆缺失无法封闭，扣1分，锈蚀、破损，扣1分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1" w:hRule="atLeast"/>
          <w:jc w:val="center"/>
        </w:trPr>
        <w:tc>
          <w:tcPr>
            <w:tcW w:w="623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13" w:right="113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73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7.标识标牌</w:t>
            </w:r>
          </w:p>
        </w:tc>
        <w:tc>
          <w:tcPr>
            <w:tcW w:w="228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①设置有责任人公示牌。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②设置有安全警示标牌</w:t>
            </w:r>
          </w:p>
        </w:tc>
        <w:tc>
          <w:tcPr>
            <w:tcW w:w="456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" w:eastAsia="zh-CN" w:bidi="ar"/>
              </w:rPr>
              <w:t>①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标识牌位置合适，无缺损，牌面清洁。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②标语清晰醒目，内容全面准确。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③公里桩、百米桩、分界桩、拦路墩、禁行杆等设施无缺损，埋设牢固</w:t>
            </w:r>
          </w:p>
        </w:tc>
        <w:tc>
          <w:tcPr>
            <w:tcW w:w="701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590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①标识牌缺损，扣2分；位置设置不当，扣1分；标牌表面污损，扣1分。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②标牌内容有误、更新不及时或不全面，扣3分；标语不醒目，扣1分。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③公里桩、百米桩、分界桩、拦路墩、禁行杆等设施缺失，扣5分；设置不牢固，存在损坏现象，扣2分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7" w:hRule="atLeast"/>
          <w:jc w:val="center"/>
        </w:trPr>
        <w:tc>
          <w:tcPr>
            <w:tcW w:w="623" w:type="dxa"/>
            <w:vMerge w:val="restar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13" w:right="113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二 安全管理（280分）</w:t>
            </w:r>
          </w:p>
        </w:tc>
        <w:tc>
          <w:tcPr>
            <w:tcW w:w="773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8.工程划界</w:t>
            </w:r>
          </w:p>
        </w:tc>
        <w:tc>
          <w:tcPr>
            <w:tcW w:w="228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①工程管理范围完成划定，完成公告并设有界桩。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②工程保护范围和保护要求明确</w:t>
            </w:r>
          </w:p>
        </w:tc>
        <w:tc>
          <w:tcPr>
            <w:tcW w:w="456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" w:eastAsia="zh-CN" w:bidi="ar"/>
              </w:rPr>
              <w:t>①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按照规定，划定工程管理范围和保护范围，设置明显警示标志。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②管理范围和保护范围内无影响工程安全的行为和活动</w:t>
            </w:r>
          </w:p>
        </w:tc>
        <w:tc>
          <w:tcPr>
            <w:tcW w:w="701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590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①未完成工程管理范围划定，此项不得分。             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②工程保护范围划定率不足50%，扣10分，未划定，扣25分。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③工程管理范围警示标志设置不合理、不齐全，扣10分。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④管理范围和保护范围内存在影响工程安全运行的行为和活动，扣15分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2" w:hRule="atLeast"/>
          <w:jc w:val="center"/>
        </w:trPr>
        <w:tc>
          <w:tcPr>
            <w:tcW w:w="623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13" w:right="113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73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9.安全评价</w:t>
            </w:r>
          </w:p>
        </w:tc>
        <w:tc>
          <w:tcPr>
            <w:tcW w:w="228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①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各类输水建筑物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按照有关技术标准开展安全评价</w:t>
            </w:r>
          </w:p>
        </w:tc>
        <w:tc>
          <w:tcPr>
            <w:tcW w:w="456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" w:eastAsia="zh-CN" w:bidi="ar"/>
              </w:rPr>
              <w:t>①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各类输水建筑物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按照有关技术标准开展安全评价，根据评价结论采取相应处理措施</w:t>
            </w:r>
          </w:p>
        </w:tc>
        <w:tc>
          <w:tcPr>
            <w:tcW w:w="701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590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①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各类输水建筑物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未在规定期限内开展安全评价，此项不得分。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②评价承担单位不符合规定，扣25分。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③未根据评价结论采取相应处理措施，扣15分。         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④末次安全评价中存在的问题，整改不到位，有遗留问题未整改，扣15分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7" w:hRule="atLeast"/>
          <w:jc w:val="center"/>
        </w:trPr>
        <w:tc>
          <w:tcPr>
            <w:tcW w:w="623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13" w:right="113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73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10.防汛管理</w:t>
            </w:r>
          </w:p>
        </w:tc>
        <w:tc>
          <w:tcPr>
            <w:tcW w:w="228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①防汛抢险队伍落实，职责明确。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②制定防汛抢险应急预案，开展演练或推演。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③有明确的防汛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" w:eastAsia="zh-CN" w:bidi="ar"/>
              </w:rPr>
              <w:t>物资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储备制度，落实管理人员。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④防汛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" w:eastAsia="zh-CN" w:bidi="ar"/>
              </w:rPr>
              <w:t>物资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储备满足要求，管理有序</w:t>
            </w:r>
          </w:p>
        </w:tc>
        <w:tc>
          <w:tcPr>
            <w:tcW w:w="456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" w:eastAsia="zh-CN" w:bidi="ar"/>
              </w:rPr>
              <w:t>①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防汛责任制落实，组织体系健全。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②防汛抢险队伍落实，职责清晰、任务明确、责任到人、措施具体、定期培训。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③编制防汛抢险应急预案，完成审批或报备，开展演练或推演。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④编制度汛方案，险点隐患记录清楚，及时处理，险工险段判别准确，措施落实。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⑤防汛物资储备制度健全，落实专人管理，物资仓储规范，齐备完好，存放有序，建档立卡，防汛通讯设备、抢险器具完好。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⑥按规定开展防汛检查。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⑦防汛值班制度执行严格，实行24小时值班，预警、预报等各类信息畅通，及时发现隐患或险情，发现后及时处理并及时报告</w:t>
            </w:r>
          </w:p>
        </w:tc>
        <w:tc>
          <w:tcPr>
            <w:tcW w:w="701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590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①防汛责任落实不到位，扣10分。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②组织体系不健全，未及时根据实际情况调整，扣8分。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③责任人履职存在不足，扣8分。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④未定期组织或参加培训，扣5分。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⑤无防汛抢险应急预案、度汛方案，或预案未审批、报备，扣15分。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⑥预案针对性、可操作性不强，防汛抢险任务不明确、队伍不落实、措施不具体，未开展演练，扣8分。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⑦险点隐患未记录或记录不清楚，未及时处理，险工险段判别不准确，措施未落实，扣8分。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⑧防汛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" w:eastAsia="zh-CN" w:bidi="ar"/>
              </w:rPr>
              <w:t>物资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储备制度不健全，调用规则不明确，防汛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" w:eastAsia="zh-CN" w:bidi="ar"/>
              </w:rPr>
              <w:t>物资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未落实专人管理，储备不满足要求，存放不当，台账混乱，扣10分。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⑨未开展防汛检查，扣8分。           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⑩防汛值班未实行24小时值班制度，预警、预报等各类信息不畅通，未及时发现隐患或险情，发现后处理报告不及时，扣5分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2" w:hRule="atLeast"/>
          <w:jc w:val="center"/>
        </w:trPr>
        <w:tc>
          <w:tcPr>
            <w:tcW w:w="623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13" w:right="113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二 安全管理（280分）</w:t>
            </w:r>
          </w:p>
        </w:tc>
        <w:tc>
          <w:tcPr>
            <w:tcW w:w="773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11.安全生产</w:t>
            </w:r>
          </w:p>
        </w:tc>
        <w:tc>
          <w:tcPr>
            <w:tcW w:w="228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①安全生产管理机构设立、健全。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②落实安全生产责任制。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③建立安全生产规章制度和操作规程。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④编制安全生产应急预案并开展演练。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⑤定期开展安全生产专项检查与隐患排查治理</w:t>
            </w:r>
          </w:p>
        </w:tc>
        <w:tc>
          <w:tcPr>
            <w:tcW w:w="456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" w:eastAsia="zh-CN" w:bidi="ar"/>
              </w:rPr>
              <w:t>①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安全生产管理机构设立、健全，并根据实际情况及时调整。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②安全生产责任制落实，职责明确，责任人履职到位。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③建立安全生产规章制度和操作规程，严格执行、及时修订。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④编制安全生产应急预案，完成审批或报备，开展演习或演练。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⑤定期开展安全生产专项检查与隐患排查治理，发现不安全因素或隐患及时处理，处理、排查治理记录规范。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⑥安全设施、装置齐备完好，定期检查、检修、校验。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⑦劳动保护用品配备满足安全生产要求。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⑧开展安全生产宣传和培训</w:t>
            </w:r>
          </w:p>
        </w:tc>
        <w:tc>
          <w:tcPr>
            <w:tcW w:w="701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590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①安全生产责任落实不到位，扣10分。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②安全生产管理机构未设立，组织体系不健全，未及时根据实际情况调整，扣10分。               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③安全生产责任人履职存在不足，扣5分。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④管理单位未与公安等地方政府部门建立安全管理联动机制，扣5分。                             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⑤未建立安全生产规章制度、操作规程，或建立后执行不严格、修订不及时，扣5分。                          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⑥无安全生产应急预案，扣15分。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⑦安全生产应急预案未完成审批或报备，扣10分。                                                                     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⑧预案内容不完整，措施不具体，针对性和可操作性不强，未开展演练，扣5分。                  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⑨未定期开展安全生产专项检查，安全生产隐患排查不及时，隐患整改治理不及时、不彻底，台账记录不规范，扣15分。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⑩安全设施、装置不齐备完好，未定期检查、检修、校验，扣5分。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⑪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劳动保护用品配备不满足安全生产要求，扣2分。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⑫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未按要求开展安全生产宣传、培训和演练，扣3分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                  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1" w:hRule="atLeast"/>
          <w:jc w:val="center"/>
        </w:trPr>
        <w:tc>
          <w:tcPr>
            <w:tcW w:w="623" w:type="dxa"/>
            <w:vMerge w:val="restar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13" w:right="113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三 运行管护(210分)</w:t>
            </w:r>
          </w:p>
        </w:tc>
        <w:tc>
          <w:tcPr>
            <w:tcW w:w="773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12.雨水情测报</w:t>
            </w:r>
          </w:p>
        </w:tc>
        <w:tc>
          <w:tcPr>
            <w:tcW w:w="228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①开展水情测报，建立报汛机制。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②开展水情预报</w:t>
            </w:r>
          </w:p>
        </w:tc>
        <w:tc>
          <w:tcPr>
            <w:tcW w:w="456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" w:eastAsia="zh-CN" w:bidi="ar"/>
              </w:rPr>
              <w:t>①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具备完备的水文测报和通讯设施，并加强运行维护和检修，保证长期可靠运行。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②开展雨水情测预报，或建立获得雨水情信息的渠道。开展雨水情测预报的，应按照规定的时间、频次和精度要求进行雨水情观测，及时开展资料整编</w:t>
            </w:r>
          </w:p>
        </w:tc>
        <w:tc>
          <w:tcPr>
            <w:tcW w:w="701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590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①未开展雨水情测预报，且没有获得雨水情信息的渠道，此项不得分。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②水文测报及通信设施不完备，未定期开展运行维护和检修工作，设备设施运行不可靠，扣12分。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③雨水情测预报规范性、实时性不足，扣9分。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④测预报记录不完整或未及时开展资料整编，测预报合格率不符合规范要求，扣9分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  <w:jc w:val="center"/>
        </w:trPr>
        <w:tc>
          <w:tcPr>
            <w:tcW w:w="623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13" w:right="113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73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13.工程检查巡查</w:t>
            </w:r>
          </w:p>
        </w:tc>
        <w:tc>
          <w:tcPr>
            <w:tcW w:w="228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①开展工程巡查。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②做好巡查记录，发现问题及时处理</w:t>
            </w:r>
          </w:p>
        </w:tc>
        <w:tc>
          <w:tcPr>
            <w:tcW w:w="456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" w:eastAsia="zh-CN" w:bidi="ar"/>
              </w:rPr>
              <w:t>①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管理单位应按照相应规程开展日常检查、定期检查和专项检查。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②检查频次、方法和内容符合要求，记录填写规范。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③发现问题及时处理到位，并按要求上报</w:t>
            </w:r>
          </w:p>
        </w:tc>
        <w:tc>
          <w:tcPr>
            <w:tcW w:w="701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590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①未开展工程检查，此项不得分。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②巡查频次、内容、方法不符合规定，扣15分。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③巡查记录不规范，扣10分。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④发现问题未及时处理到位，扣10分。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⑤未及时上报，扣5分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8" w:hRule="atLeast"/>
          <w:jc w:val="center"/>
        </w:trPr>
        <w:tc>
          <w:tcPr>
            <w:tcW w:w="623" w:type="dxa"/>
            <w:vMerge w:val="restar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13" w:right="113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三 运行管护(210分)</w:t>
            </w:r>
          </w:p>
        </w:tc>
        <w:tc>
          <w:tcPr>
            <w:tcW w:w="773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14.安全监测</w:t>
            </w:r>
          </w:p>
        </w:tc>
        <w:tc>
          <w:tcPr>
            <w:tcW w:w="228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①开展安全监测。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②做好监测记录，开展整编分析</w:t>
            </w:r>
          </w:p>
        </w:tc>
        <w:tc>
          <w:tcPr>
            <w:tcW w:w="456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" w:eastAsia="zh-CN" w:bidi="ar"/>
              </w:rPr>
              <w:t>①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管理单位应编制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《安全监测系统观测规程》或《监测运维方案》，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按照相关规范和设计要求开展安全监测，1级至3级、大跨度等水工隧洞安全监测项目应包括变形、渗流、应力应变及温度等，倒虹吸安全监测应包括变形、接缝开合度、应力应变及温度等，明确时间与频次、方法、精度、成果等要求，经批准后执行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②观测设施完好率应达到规范要求，定期开展监测设备校验和比测。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③观测结束后，应及时对观测数据进行整编，并按要求编制监测分析报告</w:t>
            </w:r>
          </w:p>
        </w:tc>
        <w:tc>
          <w:tcPr>
            <w:tcW w:w="701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590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①未开展安全监测，此项不得分。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②未编制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《安全监测系统观测规程》或《监测运维方案》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，扣8分。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③观测设施完好率未达到规范要求，未定期开展观测设备校验和比测，扣8分；监测项目、频次、方法、精度记录不规范，扣16分。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④观测资料可靠性较差，数据整编分析不及时，成果效果较差，扣8分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2" w:hRule="atLeast"/>
          <w:jc w:val="center"/>
        </w:trPr>
        <w:tc>
          <w:tcPr>
            <w:tcW w:w="623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13" w:right="113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73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15.工程维修养护</w:t>
            </w:r>
          </w:p>
        </w:tc>
        <w:tc>
          <w:tcPr>
            <w:tcW w:w="228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①开展工程维修养护。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②做好维修养护记录</w:t>
            </w:r>
          </w:p>
        </w:tc>
        <w:tc>
          <w:tcPr>
            <w:tcW w:w="456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" w:eastAsia="zh-CN" w:bidi="ar"/>
              </w:rPr>
              <w:t>①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针对各类检查中发现的问题，按照有关规范要求开展维修养护。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②一般性养护项目应做好实施过程中的质量和安全控制，保证养护到位，工作记录完整。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③维修项目应编制实施方案并通过审批，实施时做好采购、质量、安全和验收等管理工作，项目资料齐全</w:t>
            </w:r>
          </w:p>
        </w:tc>
        <w:tc>
          <w:tcPr>
            <w:tcW w:w="701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590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①未开展工程维修养护，此项不得分。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②维修养护项目实施不及时，扣5分。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③养护项目质量较差，现场安全措施不到位，扣10分。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④维修项目未编制实施方案，扣5分。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⑤维修项目未做好采购、质量、安全和验收等管理工作，扣10分。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⑥维修养护项目资料不齐全，扣5分。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⑦维修养护项目发生安全事故，扣5分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6" w:hRule="atLeast"/>
          <w:jc w:val="center"/>
        </w:trPr>
        <w:tc>
          <w:tcPr>
            <w:tcW w:w="623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13" w:right="113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73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16.控制运用</w:t>
            </w:r>
          </w:p>
        </w:tc>
        <w:tc>
          <w:tcPr>
            <w:tcW w:w="228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①纳入到调水工程供水计划和调度运用方案。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②供、排水能力达到设计要求</w:t>
            </w:r>
          </w:p>
        </w:tc>
        <w:tc>
          <w:tcPr>
            <w:tcW w:w="456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" w:eastAsia="zh-CN" w:bidi="ar"/>
              </w:rPr>
              <w:t>①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根据调水工程供水计划和调度运用方案，合理调度。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②供、排水能力达到设计要求。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③有多目标任务的工程，实现多目标统筹调度</w:t>
            </w:r>
          </w:p>
        </w:tc>
        <w:tc>
          <w:tcPr>
            <w:tcW w:w="701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590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①调水工程供水计划不落实、调度不合理，扣30分。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②供、排水能力未达到设计要求，扣15分。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③有多目标任务的工程，未实现统筹调度，扣15分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2" w:hRule="atLeast"/>
          <w:jc w:val="center"/>
        </w:trPr>
        <w:tc>
          <w:tcPr>
            <w:tcW w:w="623" w:type="dxa"/>
            <w:tcBorders>
              <w:bottom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13" w:right="113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 管理保障（180分）</w:t>
            </w:r>
          </w:p>
        </w:tc>
        <w:tc>
          <w:tcPr>
            <w:tcW w:w="773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17.管理体制</w:t>
            </w:r>
          </w:p>
        </w:tc>
        <w:tc>
          <w:tcPr>
            <w:tcW w:w="228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①管理主体明确，责任落实到人。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②岗位设置和人员满足运行管理需要</w:t>
            </w:r>
          </w:p>
        </w:tc>
        <w:tc>
          <w:tcPr>
            <w:tcW w:w="456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" w:eastAsia="zh-CN" w:bidi="ar"/>
              </w:rPr>
              <w:t>①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管理体制顺畅，权责明晰，责任落实。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②管养机制健全，岗位设置合理，人员满足工程管理需要。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③管理单位有职工培训计划并按计划落实</w:t>
            </w:r>
          </w:p>
        </w:tc>
        <w:tc>
          <w:tcPr>
            <w:tcW w:w="701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590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①管理体制不顺畅，扣15分。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②管理机构不健全，岗位设置与职责不清晰，扣15分。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③运行管养机制不健全，未实现管养分离，扣10分。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④未开展业务培训，人员专业技能不足，扣5分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8" w:hRule="atLeast"/>
          <w:jc w:val="center"/>
        </w:trPr>
        <w:tc>
          <w:tcPr>
            <w:tcW w:w="623" w:type="dxa"/>
            <w:vMerge w:val="restart"/>
            <w:tcBorders>
              <w:top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13" w:right="113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 管理保障（180分）</w:t>
            </w:r>
          </w:p>
        </w:tc>
        <w:tc>
          <w:tcPr>
            <w:tcW w:w="773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18.规章制度</w:t>
            </w:r>
          </w:p>
        </w:tc>
        <w:tc>
          <w:tcPr>
            <w:tcW w:w="228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①管理制度满足需要，明示关键制度和规程</w:t>
            </w:r>
          </w:p>
        </w:tc>
        <w:tc>
          <w:tcPr>
            <w:tcW w:w="456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" w:eastAsia="zh-CN" w:bidi="ar"/>
              </w:rPr>
              <w:t>①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建立健全并不断完善各项管理制度，内容完整，要求明确，按规定明示关键制度和规程</w:t>
            </w:r>
          </w:p>
        </w:tc>
        <w:tc>
          <w:tcPr>
            <w:tcW w:w="701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590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①管理制度不健全，扣25分。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②管理制度针对性和操作性不强，落实或执行效果差，扣15分。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③关键制度和规程未明示，扣10分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6" w:hRule="atLeast"/>
          <w:jc w:val="center"/>
        </w:trPr>
        <w:tc>
          <w:tcPr>
            <w:tcW w:w="623" w:type="dxa"/>
            <w:vMerge w:val="continue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13" w:right="113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73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19.经费保障</w:t>
            </w:r>
          </w:p>
        </w:tc>
        <w:tc>
          <w:tcPr>
            <w:tcW w:w="228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①工程运行管理和维修养护经费满足工程管护需要。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②人员工资足额兑现</w:t>
            </w:r>
          </w:p>
        </w:tc>
        <w:tc>
          <w:tcPr>
            <w:tcW w:w="456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" w:eastAsia="zh-CN" w:bidi="ar"/>
              </w:rPr>
              <w:t>①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管理单位运行管理经费和工程维修养护经费及时足额保障，满足工程管护需要，来源渠道稳定，财务管理规范。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②人员工资按时足额兑现，福利待遇不低于当地平均水平，按规定落实职工养老、医疗等社会保险</w:t>
            </w:r>
          </w:p>
        </w:tc>
        <w:tc>
          <w:tcPr>
            <w:tcW w:w="701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590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①运行管理、维修养护等费用不能及时足额到位，扣15分。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②运行管理、维修养护等经费使用不规范，扣15分。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③人员工资不能按时发放，福利待遇低于当地平均水平，扣10分。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④未按规定落实职工养老、医疗等社会保险，扣10分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1" w:hRule="atLeast"/>
          <w:jc w:val="center"/>
        </w:trPr>
        <w:tc>
          <w:tcPr>
            <w:tcW w:w="623" w:type="dxa"/>
            <w:vMerge w:val="continue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13" w:right="113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73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20.档案管理</w:t>
            </w:r>
          </w:p>
        </w:tc>
        <w:tc>
          <w:tcPr>
            <w:tcW w:w="228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①档案有集中存放场所，档案管理人员落实，档案设施完好。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②档案资料规范齐全，存放管理有序</w:t>
            </w:r>
          </w:p>
        </w:tc>
        <w:tc>
          <w:tcPr>
            <w:tcW w:w="456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" w:eastAsia="zh-CN" w:bidi="ar"/>
              </w:rPr>
              <w:t>①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配备档案管理人员。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②档案设施完好，各类档案分类清楚，存放有序，管理规范。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③档案管理信息化程度高</w:t>
            </w:r>
          </w:p>
        </w:tc>
        <w:tc>
          <w:tcPr>
            <w:tcW w:w="701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590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①档案管理制度不健全，管理不规范，设施不足，扣10分。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②档案管理人员不明确，扣7分。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③档案内容不完整、资料缺失，扣10分。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④工程档案信息化程度低，扣8分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0" w:hRule="atLeast"/>
          <w:jc w:val="center"/>
        </w:trPr>
        <w:tc>
          <w:tcPr>
            <w:tcW w:w="623" w:type="dxa"/>
            <w:vMerge w:val="restart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13" w:right="113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left="113" w:right="113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五 信息化建设（100分）</w:t>
            </w:r>
          </w:p>
          <w:p>
            <w:pPr>
              <w:keepNext w:val="0"/>
              <w:keepLines w:val="0"/>
              <w:widowControl/>
              <w:suppressLineNumbers w:val="0"/>
              <w:ind w:left="113" w:right="113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</w:t>
            </w:r>
          </w:p>
        </w:tc>
        <w:tc>
          <w:tcPr>
            <w:tcW w:w="773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21.信息化平台建设</w:t>
            </w:r>
          </w:p>
        </w:tc>
        <w:tc>
          <w:tcPr>
            <w:tcW w:w="228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①应用工程信息化平台。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②实现工程信息动态管理</w:t>
            </w:r>
          </w:p>
        </w:tc>
        <w:tc>
          <w:tcPr>
            <w:tcW w:w="456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" w:eastAsia="zh-CN" w:bidi="ar"/>
              </w:rPr>
              <w:t>①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建立工程管理信息化平台。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②实现工程在线监管和自动化控制。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③工程信息及时动态更新。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④与水利部相关平台实现信息融合共享、上下贯通</w:t>
            </w:r>
          </w:p>
        </w:tc>
        <w:tc>
          <w:tcPr>
            <w:tcW w:w="701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590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①未应用工程信息化平台，此项不得分。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②未建立工程管理信息化平台，扣10分。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③未实现在线监管或自动化控制，扣10分。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④工程信息不全面、不准确，或未及时更新，扣10分。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⑤工程信息未与水利部相关平台信息融合共享，扣10分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3" w:hRule="atLeast"/>
          <w:jc w:val="center"/>
        </w:trPr>
        <w:tc>
          <w:tcPr>
            <w:tcW w:w="623" w:type="dxa"/>
            <w:vMerge w:val="continue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13" w:right="113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73" w:type="dxa"/>
            <w:tcBorders>
              <w:bottom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22.自动化监测预警</w:t>
            </w:r>
          </w:p>
        </w:tc>
        <w:tc>
          <w:tcPr>
            <w:tcW w:w="228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①监测监控基本信息录入平台。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②监测监控出现异常时及时采取措施</w:t>
            </w:r>
          </w:p>
        </w:tc>
        <w:tc>
          <w:tcPr>
            <w:tcW w:w="456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" w:eastAsia="zh-CN" w:bidi="ar"/>
              </w:rPr>
              <w:t>①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雨水情、安全监测、视频监控等关键信息接入信息化平台，实现动态管理。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②监测监控数据异常时，能够自动识别险情，及时预报预警</w:t>
            </w:r>
          </w:p>
        </w:tc>
        <w:tc>
          <w:tcPr>
            <w:tcW w:w="701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590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①雨水情、安全监测、视频监控等关键信息未接入信息化平台，扣10分。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②数据异常时，无法自动识别险情，扣10分。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③出现险情时，无法及时预报预警，扣10分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6" w:hRule="atLeast"/>
          <w:jc w:val="center"/>
        </w:trPr>
        <w:tc>
          <w:tcPr>
            <w:tcW w:w="623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13" w:right="113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五 信息化建设（100分）</w:t>
            </w:r>
          </w:p>
        </w:tc>
        <w:tc>
          <w:tcPr>
            <w:tcW w:w="773" w:type="dxa"/>
            <w:tcBorders>
              <w:top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23.网络安全管理</w:t>
            </w:r>
          </w:p>
        </w:tc>
        <w:tc>
          <w:tcPr>
            <w:tcW w:w="228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①制定并落实网络平台管理制度</w:t>
            </w:r>
          </w:p>
        </w:tc>
        <w:tc>
          <w:tcPr>
            <w:tcW w:w="456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" w:eastAsia="zh-CN" w:bidi="ar"/>
              </w:rPr>
              <w:t>①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网络平台安全管理制度体系健全。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②网络安全防护措施完善</w:t>
            </w:r>
          </w:p>
        </w:tc>
        <w:tc>
          <w:tcPr>
            <w:tcW w:w="701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590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①网络平台安全管理制度体系不健全，扣10分。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②网络安全防护措施存在漏洞，扣20分</w:t>
            </w: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0" w:lineRule="exact"/>
        <w:ind w:left="0" w:leftChars="0" w:firstLine="0" w:firstLineChars="0"/>
        <w:textAlignment w:val="auto"/>
        <w:rPr>
          <w:rFonts w:hint="eastAsia" w:ascii="仿宋_GB2312" w:eastAsia="仿宋_GB2312"/>
          <w:kern w:val="0"/>
          <w:sz w:val="18"/>
          <w:szCs w:val="18"/>
        </w:rPr>
      </w:pPr>
      <w:r>
        <w:rPr>
          <w:rFonts w:hint="eastAsia" w:ascii="仿宋_GB2312" w:eastAsia="仿宋_GB2312"/>
          <w:kern w:val="0"/>
          <w:sz w:val="18"/>
          <w:szCs w:val="18"/>
        </w:rPr>
        <w:t>说明：</w:t>
      </w:r>
      <w:r>
        <w:rPr>
          <w:rFonts w:hint="eastAsia" w:ascii="仿宋_GB2312" w:eastAsia="仿宋_GB2312"/>
          <w:kern w:val="0"/>
          <w:sz w:val="18"/>
          <w:szCs w:val="18"/>
          <w:lang w:val="en-US" w:eastAsia="zh-CN"/>
        </w:rPr>
        <w:tab/>
      </w:r>
      <w:r>
        <w:rPr>
          <w:rFonts w:hint="eastAsia" w:ascii="仿宋_GB2312" w:eastAsia="仿宋_GB2312"/>
          <w:kern w:val="0"/>
          <w:sz w:val="18"/>
          <w:szCs w:val="18"/>
          <w:lang w:val="en-US" w:eastAsia="zh-CN"/>
        </w:rPr>
        <w:t>1.</w:t>
      </w:r>
      <w:r>
        <w:rPr>
          <w:rFonts w:hint="eastAsia" w:ascii="仿宋_GB2312" w:eastAsia="仿宋_GB2312"/>
          <w:kern w:val="0"/>
          <w:sz w:val="18"/>
          <w:szCs w:val="18"/>
        </w:rPr>
        <w:t>本标准中“标准化基本要求”为省级制定标准化评价标准的基本要求，“水利部评价标准”为申报水利部标准化评价的标准。</w:t>
      </w:r>
    </w:p>
    <w:p>
      <w:pPr>
        <w:keepNext w:val="0"/>
        <w:keepLines w:val="0"/>
        <w:pageBreakBefore w:val="0"/>
        <w:widowControl w:val="0"/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0" w:lineRule="exact"/>
        <w:ind w:left="837" w:leftChars="97" w:hanging="633" w:hangingChars="352"/>
        <w:textAlignment w:val="auto"/>
        <w:rPr>
          <w:rFonts w:hint="eastAsia" w:ascii="仿宋_GB2312" w:eastAsia="仿宋_GB2312"/>
          <w:kern w:val="0"/>
          <w:sz w:val="18"/>
          <w:szCs w:val="18"/>
          <w:lang w:val="en-US" w:eastAsia="zh-CN"/>
        </w:rPr>
      </w:pPr>
      <w:r>
        <w:rPr>
          <w:rFonts w:hint="eastAsia" w:ascii="仿宋_GB2312" w:eastAsia="仿宋_GB2312"/>
          <w:kern w:val="0"/>
          <w:sz w:val="18"/>
          <w:szCs w:val="18"/>
          <w:lang w:val="en-US" w:eastAsia="zh-CN"/>
        </w:rPr>
        <w:tab/>
      </w:r>
      <w:r>
        <w:rPr>
          <w:rFonts w:hint="eastAsia" w:ascii="仿宋_GB2312" w:eastAsia="仿宋_GB2312"/>
          <w:kern w:val="0"/>
          <w:sz w:val="18"/>
          <w:szCs w:val="18"/>
          <w:lang w:val="en-US" w:eastAsia="zh-CN"/>
        </w:rPr>
        <w:t>2.部级标准化评价，根据标准化评价内容及要求采用千分制考核，总分达到920分（含）以上，且工程状况、安全管理、运行管护、管理保障四个类别评价得分均不低于该类别总分85%的为合格。评价中若出现合理缺项，合理缺项评价得分计算方法为“合理缺项得分=[项目所在类别评价得分/（项目所在类别标准分-合理缺项标准分）]</w:t>
      </w:r>
      <w:r>
        <w:rPr>
          <w:rFonts w:hint="eastAsia" w:ascii="仿宋_GB2312" w:hAnsi="仿宋_GB2312" w:eastAsia="仿宋_GB2312" w:cs="仿宋_GB2312"/>
          <w:kern w:val="0"/>
          <w:sz w:val="18"/>
          <w:szCs w:val="18"/>
          <w:lang w:val="en-US" w:eastAsia="zh-CN"/>
        </w:rPr>
        <w:t>×</w:t>
      </w:r>
      <w:r>
        <w:rPr>
          <w:rFonts w:hint="eastAsia" w:ascii="仿宋_GB2312" w:eastAsia="仿宋_GB2312"/>
          <w:kern w:val="0"/>
          <w:sz w:val="18"/>
          <w:szCs w:val="18"/>
          <w:lang w:val="en-US" w:eastAsia="zh-CN"/>
        </w:rPr>
        <w:t>合理缺项标准分”。</w:t>
      </w:r>
    </w:p>
    <w:p>
      <w:pPr>
        <w:keepNext w:val="0"/>
        <w:keepLines w:val="0"/>
        <w:pageBreakBefore w:val="0"/>
        <w:widowControl w:val="0"/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0" w:lineRule="exact"/>
        <w:ind w:left="635" w:leftChars="0" w:hanging="635" w:hangingChars="353"/>
        <w:textAlignment w:val="auto"/>
        <w:rPr>
          <w:rFonts w:hint="eastAsia"/>
          <w:sz w:val="18"/>
          <w:szCs w:val="18"/>
        </w:rPr>
      </w:pPr>
      <w:r>
        <w:rPr>
          <w:rFonts w:hint="eastAsia" w:ascii="仿宋_GB2312" w:eastAsia="仿宋_GB2312"/>
          <w:kern w:val="0"/>
          <w:sz w:val="18"/>
          <w:szCs w:val="18"/>
          <w:lang w:val="en-US" w:eastAsia="zh-CN"/>
        </w:rPr>
        <w:tab/>
      </w:r>
      <w:r>
        <w:rPr>
          <w:rFonts w:hint="eastAsia" w:ascii="仿宋_GB2312" w:eastAsia="仿宋_GB2312"/>
          <w:kern w:val="0"/>
          <w:sz w:val="18"/>
          <w:szCs w:val="18"/>
          <w:lang w:val="en-US" w:eastAsia="zh-CN"/>
        </w:rPr>
        <w:t>3.</w:t>
      </w:r>
      <w:r>
        <w:rPr>
          <w:rFonts w:hint="eastAsia" w:ascii="仿宋_GB2312" w:eastAsia="仿宋_GB2312"/>
          <w:kern w:val="0"/>
          <w:sz w:val="18"/>
          <w:szCs w:val="18"/>
        </w:rPr>
        <w:t>表中扣分值为评分</w:t>
      </w:r>
      <w:r>
        <w:rPr>
          <w:rFonts w:ascii="仿宋_GB2312" w:eastAsia="仿宋_GB2312"/>
          <w:kern w:val="0"/>
          <w:sz w:val="18"/>
          <w:szCs w:val="18"/>
        </w:rPr>
        <w:t>要点</w:t>
      </w:r>
      <w:r>
        <w:rPr>
          <w:rFonts w:hint="eastAsia" w:ascii="仿宋_GB2312" w:eastAsia="仿宋_GB2312"/>
          <w:kern w:val="0"/>
          <w:sz w:val="18"/>
          <w:szCs w:val="18"/>
        </w:rPr>
        <w:t>的最高扣分值，评</w:t>
      </w:r>
      <w:r>
        <w:rPr>
          <w:rFonts w:ascii="仿宋_GB2312" w:eastAsia="仿宋_GB2312"/>
          <w:kern w:val="0"/>
          <w:sz w:val="18"/>
          <w:szCs w:val="18"/>
        </w:rPr>
        <w:t>分时可依据具体情况在该分值范围内酌情扣分</w:t>
      </w:r>
      <w:r>
        <w:rPr>
          <w:rFonts w:hint="eastAsia" w:ascii="仿宋_GB2312" w:eastAsia="仿宋_GB2312"/>
          <w:kern w:val="0"/>
          <w:sz w:val="18"/>
          <w:szCs w:val="18"/>
        </w:rPr>
        <w:t>。</w:t>
      </w:r>
    </w:p>
    <w:p>
      <w:pPr>
        <w:rPr>
          <w:rFonts w:hint="eastAsia" w:ascii="仿宋_GB2312" w:hAnsi="仿宋_GB2312" w:eastAsia="仿宋_GB2312" w:cs="仿宋_GB2312"/>
          <w:sz w:val="18"/>
          <w:szCs w:val="18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18"/>
          <w:szCs w:val="18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left="0" w:leftChars="0" w:firstLine="0" w:firstLineChars="0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sectPr>
      <w:footerReference r:id="rId3" w:type="default"/>
      <w:pgSz w:w="16840" w:h="11850" w:orient="landscape"/>
      <w:pgMar w:top="1440" w:right="1077" w:bottom="1440" w:left="107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CESI楷体-GB2312">
    <w:altName w:val="宋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s0lY7tAAAAAFAQAADwAAAAAA&#10;AAABACAAAAAiAAAAZHJzL2Rvd25yZXYueG1sUEsBAhQAFAAAAAgAh07iQOCaDI8bAgAAIQQAAA4A&#10;AAAAAAAAAQAgAAAAHwEAAGRycy9lMm9Eb2MueG1sUEsFBgAAAAAGAAYAWQEAAKw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5MGUxODFkYzBkNzk5MzAyNmIyNGMwMDI5OWFhNTYifQ=="/>
  </w:docVars>
  <w:rsids>
    <w:rsidRoot w:val="4A1947CF"/>
    <w:rsid w:val="000046A9"/>
    <w:rsid w:val="00004D50"/>
    <w:rsid w:val="00015DD0"/>
    <w:rsid w:val="00016729"/>
    <w:rsid w:val="00022267"/>
    <w:rsid w:val="000225E2"/>
    <w:rsid w:val="00030BA2"/>
    <w:rsid w:val="000359AC"/>
    <w:rsid w:val="00054F76"/>
    <w:rsid w:val="00062B5D"/>
    <w:rsid w:val="000711DD"/>
    <w:rsid w:val="000A6D32"/>
    <w:rsid w:val="000B6588"/>
    <w:rsid w:val="000C1E20"/>
    <w:rsid w:val="000F4EAE"/>
    <w:rsid w:val="00103D26"/>
    <w:rsid w:val="00117734"/>
    <w:rsid w:val="00125CA7"/>
    <w:rsid w:val="0013440D"/>
    <w:rsid w:val="001465AA"/>
    <w:rsid w:val="00150C09"/>
    <w:rsid w:val="00174C9E"/>
    <w:rsid w:val="00177ED3"/>
    <w:rsid w:val="00181C67"/>
    <w:rsid w:val="00184CA7"/>
    <w:rsid w:val="00185386"/>
    <w:rsid w:val="0018539D"/>
    <w:rsid w:val="00185D26"/>
    <w:rsid w:val="00185DBB"/>
    <w:rsid w:val="001935CD"/>
    <w:rsid w:val="00193EDF"/>
    <w:rsid w:val="00194690"/>
    <w:rsid w:val="00196025"/>
    <w:rsid w:val="001A5CCD"/>
    <w:rsid w:val="001B0744"/>
    <w:rsid w:val="001D07E7"/>
    <w:rsid w:val="001D18D1"/>
    <w:rsid w:val="002055F8"/>
    <w:rsid w:val="00207263"/>
    <w:rsid w:val="002230DF"/>
    <w:rsid w:val="00226378"/>
    <w:rsid w:val="00233CD8"/>
    <w:rsid w:val="0024145A"/>
    <w:rsid w:val="00262B4E"/>
    <w:rsid w:val="00274C31"/>
    <w:rsid w:val="0028412A"/>
    <w:rsid w:val="002B6AB3"/>
    <w:rsid w:val="002E49A7"/>
    <w:rsid w:val="002F43C0"/>
    <w:rsid w:val="002F5A19"/>
    <w:rsid w:val="002F7E13"/>
    <w:rsid w:val="003002C6"/>
    <w:rsid w:val="00322821"/>
    <w:rsid w:val="003413CC"/>
    <w:rsid w:val="00347F02"/>
    <w:rsid w:val="00394B42"/>
    <w:rsid w:val="003972DD"/>
    <w:rsid w:val="003A1905"/>
    <w:rsid w:val="003A342E"/>
    <w:rsid w:val="003B278D"/>
    <w:rsid w:val="003C6979"/>
    <w:rsid w:val="003E45F8"/>
    <w:rsid w:val="003F251A"/>
    <w:rsid w:val="003F4E52"/>
    <w:rsid w:val="003F6F6F"/>
    <w:rsid w:val="00407B10"/>
    <w:rsid w:val="00426E37"/>
    <w:rsid w:val="00430F27"/>
    <w:rsid w:val="004674AB"/>
    <w:rsid w:val="00481F13"/>
    <w:rsid w:val="004A58A1"/>
    <w:rsid w:val="004B3007"/>
    <w:rsid w:val="004C573C"/>
    <w:rsid w:val="004F1A54"/>
    <w:rsid w:val="004F51B0"/>
    <w:rsid w:val="005125A1"/>
    <w:rsid w:val="005216AF"/>
    <w:rsid w:val="00555759"/>
    <w:rsid w:val="005638F4"/>
    <w:rsid w:val="0059541F"/>
    <w:rsid w:val="005B2980"/>
    <w:rsid w:val="005B7A62"/>
    <w:rsid w:val="00601629"/>
    <w:rsid w:val="00610642"/>
    <w:rsid w:val="006223D5"/>
    <w:rsid w:val="006231FD"/>
    <w:rsid w:val="006353BA"/>
    <w:rsid w:val="00662071"/>
    <w:rsid w:val="0066386E"/>
    <w:rsid w:val="00675BB3"/>
    <w:rsid w:val="00680099"/>
    <w:rsid w:val="0068252C"/>
    <w:rsid w:val="006830A3"/>
    <w:rsid w:val="00695EC6"/>
    <w:rsid w:val="00697D67"/>
    <w:rsid w:val="006B710B"/>
    <w:rsid w:val="006C0C54"/>
    <w:rsid w:val="006C10A5"/>
    <w:rsid w:val="006F0645"/>
    <w:rsid w:val="00707FDD"/>
    <w:rsid w:val="00712485"/>
    <w:rsid w:val="00726DAE"/>
    <w:rsid w:val="00744B45"/>
    <w:rsid w:val="0077295F"/>
    <w:rsid w:val="00774FFE"/>
    <w:rsid w:val="00780FC6"/>
    <w:rsid w:val="007A10B7"/>
    <w:rsid w:val="007A56AA"/>
    <w:rsid w:val="007B078C"/>
    <w:rsid w:val="007D0004"/>
    <w:rsid w:val="007D4AD1"/>
    <w:rsid w:val="007E231D"/>
    <w:rsid w:val="007E2C14"/>
    <w:rsid w:val="007E5FBA"/>
    <w:rsid w:val="007F7C01"/>
    <w:rsid w:val="008235E2"/>
    <w:rsid w:val="00844E6D"/>
    <w:rsid w:val="0084714D"/>
    <w:rsid w:val="00851D94"/>
    <w:rsid w:val="00867496"/>
    <w:rsid w:val="00882E38"/>
    <w:rsid w:val="008861F1"/>
    <w:rsid w:val="00887793"/>
    <w:rsid w:val="008909C1"/>
    <w:rsid w:val="008954F2"/>
    <w:rsid w:val="008C6D35"/>
    <w:rsid w:val="008F14D5"/>
    <w:rsid w:val="00932E31"/>
    <w:rsid w:val="00934649"/>
    <w:rsid w:val="00941D43"/>
    <w:rsid w:val="00942432"/>
    <w:rsid w:val="00942EEC"/>
    <w:rsid w:val="009450F5"/>
    <w:rsid w:val="00946807"/>
    <w:rsid w:val="00956B7C"/>
    <w:rsid w:val="00957718"/>
    <w:rsid w:val="009623E9"/>
    <w:rsid w:val="00962925"/>
    <w:rsid w:val="009D3392"/>
    <w:rsid w:val="009E6AFA"/>
    <w:rsid w:val="00A107EE"/>
    <w:rsid w:val="00A21F98"/>
    <w:rsid w:val="00A521C9"/>
    <w:rsid w:val="00A6746A"/>
    <w:rsid w:val="00A76AAD"/>
    <w:rsid w:val="00A82BDC"/>
    <w:rsid w:val="00AA51D7"/>
    <w:rsid w:val="00AA76C8"/>
    <w:rsid w:val="00AB4560"/>
    <w:rsid w:val="00AB6367"/>
    <w:rsid w:val="00AB7108"/>
    <w:rsid w:val="00AC0517"/>
    <w:rsid w:val="00AC2841"/>
    <w:rsid w:val="00B121E3"/>
    <w:rsid w:val="00B27F20"/>
    <w:rsid w:val="00B30D96"/>
    <w:rsid w:val="00B40970"/>
    <w:rsid w:val="00B52484"/>
    <w:rsid w:val="00B712CF"/>
    <w:rsid w:val="00B9049B"/>
    <w:rsid w:val="00BB085B"/>
    <w:rsid w:val="00BB22A2"/>
    <w:rsid w:val="00BF23E4"/>
    <w:rsid w:val="00C33F26"/>
    <w:rsid w:val="00C35CA4"/>
    <w:rsid w:val="00C528BD"/>
    <w:rsid w:val="00C616B1"/>
    <w:rsid w:val="00C702FA"/>
    <w:rsid w:val="00C77F8B"/>
    <w:rsid w:val="00C835DB"/>
    <w:rsid w:val="00C977CB"/>
    <w:rsid w:val="00CB1ED8"/>
    <w:rsid w:val="00CD1C4E"/>
    <w:rsid w:val="00CE73B3"/>
    <w:rsid w:val="00D004DD"/>
    <w:rsid w:val="00D14A98"/>
    <w:rsid w:val="00D24004"/>
    <w:rsid w:val="00D269B3"/>
    <w:rsid w:val="00D43C88"/>
    <w:rsid w:val="00D443CA"/>
    <w:rsid w:val="00D50CEA"/>
    <w:rsid w:val="00D57DFA"/>
    <w:rsid w:val="00D75ABF"/>
    <w:rsid w:val="00DA2AF9"/>
    <w:rsid w:val="00DA5545"/>
    <w:rsid w:val="00DC2554"/>
    <w:rsid w:val="00DC6EB8"/>
    <w:rsid w:val="00DC77ED"/>
    <w:rsid w:val="00DE1620"/>
    <w:rsid w:val="00DE1842"/>
    <w:rsid w:val="00DE474E"/>
    <w:rsid w:val="00DF2336"/>
    <w:rsid w:val="00DF4D73"/>
    <w:rsid w:val="00E34793"/>
    <w:rsid w:val="00E43730"/>
    <w:rsid w:val="00E446F3"/>
    <w:rsid w:val="00E53F79"/>
    <w:rsid w:val="00E61062"/>
    <w:rsid w:val="00E65F90"/>
    <w:rsid w:val="00E76CC2"/>
    <w:rsid w:val="00E818A1"/>
    <w:rsid w:val="00E81FC1"/>
    <w:rsid w:val="00E82CD0"/>
    <w:rsid w:val="00E84B7D"/>
    <w:rsid w:val="00EC72B4"/>
    <w:rsid w:val="00EC7448"/>
    <w:rsid w:val="00ED1527"/>
    <w:rsid w:val="00ED3573"/>
    <w:rsid w:val="00ED7759"/>
    <w:rsid w:val="00EE6676"/>
    <w:rsid w:val="00EF7003"/>
    <w:rsid w:val="00F13E51"/>
    <w:rsid w:val="00F22B2D"/>
    <w:rsid w:val="00F43593"/>
    <w:rsid w:val="00F624A9"/>
    <w:rsid w:val="00F7168C"/>
    <w:rsid w:val="00F73770"/>
    <w:rsid w:val="00F73B4E"/>
    <w:rsid w:val="00F869BB"/>
    <w:rsid w:val="00F97055"/>
    <w:rsid w:val="00F97958"/>
    <w:rsid w:val="00F97DB5"/>
    <w:rsid w:val="00FB2165"/>
    <w:rsid w:val="00FD7BC5"/>
    <w:rsid w:val="017D6C09"/>
    <w:rsid w:val="02764E91"/>
    <w:rsid w:val="03485628"/>
    <w:rsid w:val="04BB391E"/>
    <w:rsid w:val="054D2526"/>
    <w:rsid w:val="08D02E20"/>
    <w:rsid w:val="0AFBEC34"/>
    <w:rsid w:val="0B0545BE"/>
    <w:rsid w:val="0B0959A3"/>
    <w:rsid w:val="0BE52EF8"/>
    <w:rsid w:val="0BEB295B"/>
    <w:rsid w:val="0C3F98C9"/>
    <w:rsid w:val="0D3DAA15"/>
    <w:rsid w:val="0D7C3CAB"/>
    <w:rsid w:val="0DDBEFF0"/>
    <w:rsid w:val="0EFBDE10"/>
    <w:rsid w:val="0EFD0092"/>
    <w:rsid w:val="0EFDAE61"/>
    <w:rsid w:val="0F7C1353"/>
    <w:rsid w:val="0FE722F2"/>
    <w:rsid w:val="0FEFFDCE"/>
    <w:rsid w:val="0FFA39C8"/>
    <w:rsid w:val="0FFB698B"/>
    <w:rsid w:val="0FFD4374"/>
    <w:rsid w:val="11ACD586"/>
    <w:rsid w:val="127FD506"/>
    <w:rsid w:val="12D7A970"/>
    <w:rsid w:val="12FE7C6C"/>
    <w:rsid w:val="135F4028"/>
    <w:rsid w:val="13890BE0"/>
    <w:rsid w:val="13CB5801"/>
    <w:rsid w:val="13CE3151"/>
    <w:rsid w:val="13EDDCC9"/>
    <w:rsid w:val="14B5DCAE"/>
    <w:rsid w:val="15FEAFB1"/>
    <w:rsid w:val="15FFE5C7"/>
    <w:rsid w:val="17EF00FD"/>
    <w:rsid w:val="17EF11B2"/>
    <w:rsid w:val="1806114F"/>
    <w:rsid w:val="188F71CB"/>
    <w:rsid w:val="18DF5975"/>
    <w:rsid w:val="197FBFD6"/>
    <w:rsid w:val="19DFAEAC"/>
    <w:rsid w:val="19EB4902"/>
    <w:rsid w:val="19FF1881"/>
    <w:rsid w:val="1A5F51F0"/>
    <w:rsid w:val="1A7C79C2"/>
    <w:rsid w:val="1BF672E5"/>
    <w:rsid w:val="1BFBA5E2"/>
    <w:rsid w:val="1C937F2C"/>
    <w:rsid w:val="1CE06059"/>
    <w:rsid w:val="1CFC38B8"/>
    <w:rsid w:val="1DD6EDFE"/>
    <w:rsid w:val="1DF100F4"/>
    <w:rsid w:val="1DFBD7DE"/>
    <w:rsid w:val="1E5F7139"/>
    <w:rsid w:val="1E7F42C4"/>
    <w:rsid w:val="1E9F4F8D"/>
    <w:rsid w:val="1EFE74E3"/>
    <w:rsid w:val="1EFF2566"/>
    <w:rsid w:val="1F7D695E"/>
    <w:rsid w:val="1F8D5BD5"/>
    <w:rsid w:val="1FB5E21A"/>
    <w:rsid w:val="1FCE6185"/>
    <w:rsid w:val="1FD674BC"/>
    <w:rsid w:val="1FE3475C"/>
    <w:rsid w:val="1FEB5AA2"/>
    <w:rsid w:val="1FEBACDE"/>
    <w:rsid w:val="1FFF8D99"/>
    <w:rsid w:val="213D7D8A"/>
    <w:rsid w:val="21596B1B"/>
    <w:rsid w:val="233B7023"/>
    <w:rsid w:val="23444DDB"/>
    <w:rsid w:val="23D78298"/>
    <w:rsid w:val="252C2AD9"/>
    <w:rsid w:val="2559D556"/>
    <w:rsid w:val="2577C892"/>
    <w:rsid w:val="261B0ACD"/>
    <w:rsid w:val="26FDFC72"/>
    <w:rsid w:val="277C71FD"/>
    <w:rsid w:val="279F57D1"/>
    <w:rsid w:val="27AE6B2A"/>
    <w:rsid w:val="27E3ED25"/>
    <w:rsid w:val="27F7521F"/>
    <w:rsid w:val="27FB8CB7"/>
    <w:rsid w:val="293A5523"/>
    <w:rsid w:val="29955755"/>
    <w:rsid w:val="2AD1D258"/>
    <w:rsid w:val="2B036B8F"/>
    <w:rsid w:val="2BFDA6FE"/>
    <w:rsid w:val="2BFF99E4"/>
    <w:rsid w:val="2BFFC45C"/>
    <w:rsid w:val="2CBF758E"/>
    <w:rsid w:val="2CC21502"/>
    <w:rsid w:val="2CDD35CA"/>
    <w:rsid w:val="2D1B567A"/>
    <w:rsid w:val="2D7C8A7B"/>
    <w:rsid w:val="2DA7B2EE"/>
    <w:rsid w:val="2DDEDBE2"/>
    <w:rsid w:val="2DEB43FA"/>
    <w:rsid w:val="2DFC00E8"/>
    <w:rsid w:val="2EABAED0"/>
    <w:rsid w:val="2EF3D888"/>
    <w:rsid w:val="2EFC9BD6"/>
    <w:rsid w:val="2F037295"/>
    <w:rsid w:val="2F6718B4"/>
    <w:rsid w:val="2FAF7902"/>
    <w:rsid w:val="2FB6688B"/>
    <w:rsid w:val="2FBAB606"/>
    <w:rsid w:val="2FC72E0D"/>
    <w:rsid w:val="2FEF63D3"/>
    <w:rsid w:val="2FF30BED"/>
    <w:rsid w:val="2FFEA784"/>
    <w:rsid w:val="307D7684"/>
    <w:rsid w:val="31AE8004"/>
    <w:rsid w:val="31BD2AA7"/>
    <w:rsid w:val="31CDF8C9"/>
    <w:rsid w:val="339E47FC"/>
    <w:rsid w:val="33C7050D"/>
    <w:rsid w:val="33F9C387"/>
    <w:rsid w:val="346F9604"/>
    <w:rsid w:val="347B6990"/>
    <w:rsid w:val="355D5710"/>
    <w:rsid w:val="35858AEF"/>
    <w:rsid w:val="35DDC30F"/>
    <w:rsid w:val="35F784D7"/>
    <w:rsid w:val="35FEA1C5"/>
    <w:rsid w:val="3679D669"/>
    <w:rsid w:val="36EE1FD3"/>
    <w:rsid w:val="373B8028"/>
    <w:rsid w:val="37745927"/>
    <w:rsid w:val="377C74DB"/>
    <w:rsid w:val="377FC172"/>
    <w:rsid w:val="377FCA4B"/>
    <w:rsid w:val="37AD2DEA"/>
    <w:rsid w:val="37DBE921"/>
    <w:rsid w:val="37DDA0CB"/>
    <w:rsid w:val="37F17621"/>
    <w:rsid w:val="37F5E9F5"/>
    <w:rsid w:val="37F78330"/>
    <w:rsid w:val="37FBFA0A"/>
    <w:rsid w:val="38366D1F"/>
    <w:rsid w:val="38674B93"/>
    <w:rsid w:val="387E8E15"/>
    <w:rsid w:val="38DFC864"/>
    <w:rsid w:val="38FF5BD5"/>
    <w:rsid w:val="39528AB4"/>
    <w:rsid w:val="39BCB207"/>
    <w:rsid w:val="39F6F421"/>
    <w:rsid w:val="39FF966B"/>
    <w:rsid w:val="3A145BDF"/>
    <w:rsid w:val="3A8953AF"/>
    <w:rsid w:val="3AF6B91F"/>
    <w:rsid w:val="3B4BED66"/>
    <w:rsid w:val="3B7FB70D"/>
    <w:rsid w:val="3BBE74C8"/>
    <w:rsid w:val="3BCF374E"/>
    <w:rsid w:val="3BD5EEDA"/>
    <w:rsid w:val="3BDB5EEF"/>
    <w:rsid w:val="3BDF11AA"/>
    <w:rsid w:val="3BF2EC33"/>
    <w:rsid w:val="3BF77007"/>
    <w:rsid w:val="3BFAF58E"/>
    <w:rsid w:val="3BFB6820"/>
    <w:rsid w:val="3BFC1629"/>
    <w:rsid w:val="3BFD61B4"/>
    <w:rsid w:val="3D1FECF0"/>
    <w:rsid w:val="3D2E8C96"/>
    <w:rsid w:val="3D575BC8"/>
    <w:rsid w:val="3D5E798F"/>
    <w:rsid w:val="3D5F06B3"/>
    <w:rsid w:val="3D729FDD"/>
    <w:rsid w:val="3D7C54EC"/>
    <w:rsid w:val="3D8A0C2A"/>
    <w:rsid w:val="3DA7B986"/>
    <w:rsid w:val="3DAC01D3"/>
    <w:rsid w:val="3DAECEF9"/>
    <w:rsid w:val="3DB74FC9"/>
    <w:rsid w:val="3DBB8C2B"/>
    <w:rsid w:val="3DFBB2B1"/>
    <w:rsid w:val="3DFFEB1E"/>
    <w:rsid w:val="3E1C80A3"/>
    <w:rsid w:val="3E2FAD5B"/>
    <w:rsid w:val="3E3B4FE4"/>
    <w:rsid w:val="3E6F53D5"/>
    <w:rsid w:val="3E7B967F"/>
    <w:rsid w:val="3E96F859"/>
    <w:rsid w:val="3EBD84CE"/>
    <w:rsid w:val="3ECED308"/>
    <w:rsid w:val="3ED72A3A"/>
    <w:rsid w:val="3EDF92F0"/>
    <w:rsid w:val="3EE96819"/>
    <w:rsid w:val="3EEA1F1F"/>
    <w:rsid w:val="3EF32CC2"/>
    <w:rsid w:val="3EFF8C53"/>
    <w:rsid w:val="3F1BDC25"/>
    <w:rsid w:val="3F329776"/>
    <w:rsid w:val="3F3F5458"/>
    <w:rsid w:val="3F5E66E5"/>
    <w:rsid w:val="3F6DA104"/>
    <w:rsid w:val="3F77BE08"/>
    <w:rsid w:val="3F7BE806"/>
    <w:rsid w:val="3F7EC195"/>
    <w:rsid w:val="3F7F5035"/>
    <w:rsid w:val="3F7F7DEE"/>
    <w:rsid w:val="3F7FB959"/>
    <w:rsid w:val="3F89EC6F"/>
    <w:rsid w:val="3F8F0E95"/>
    <w:rsid w:val="3F9D7DBC"/>
    <w:rsid w:val="3FB7E9FB"/>
    <w:rsid w:val="3FBF20F8"/>
    <w:rsid w:val="3FBFD93A"/>
    <w:rsid w:val="3FCDAA6E"/>
    <w:rsid w:val="3FCF39A7"/>
    <w:rsid w:val="3FD4F4EC"/>
    <w:rsid w:val="3FD59C11"/>
    <w:rsid w:val="3FD68307"/>
    <w:rsid w:val="3FD7E918"/>
    <w:rsid w:val="3FDD539B"/>
    <w:rsid w:val="3FDFAE3F"/>
    <w:rsid w:val="3FDFF93F"/>
    <w:rsid w:val="3FE67D40"/>
    <w:rsid w:val="3FEBE8D4"/>
    <w:rsid w:val="3FEE26A9"/>
    <w:rsid w:val="3FF7CCD0"/>
    <w:rsid w:val="3FFA117A"/>
    <w:rsid w:val="3FFBD45B"/>
    <w:rsid w:val="3FFDE263"/>
    <w:rsid w:val="3FFDFCFC"/>
    <w:rsid w:val="3FFE9751"/>
    <w:rsid w:val="3FFFA598"/>
    <w:rsid w:val="3FFFA990"/>
    <w:rsid w:val="426222F4"/>
    <w:rsid w:val="432178E8"/>
    <w:rsid w:val="437EFCD9"/>
    <w:rsid w:val="44863599"/>
    <w:rsid w:val="44FF057D"/>
    <w:rsid w:val="45BA43F0"/>
    <w:rsid w:val="46714C29"/>
    <w:rsid w:val="46EFBB48"/>
    <w:rsid w:val="470F5835"/>
    <w:rsid w:val="4757236D"/>
    <w:rsid w:val="47730237"/>
    <w:rsid w:val="47B48C3A"/>
    <w:rsid w:val="47FFDBB8"/>
    <w:rsid w:val="49C15A1B"/>
    <w:rsid w:val="49EC37B5"/>
    <w:rsid w:val="4A1947CF"/>
    <w:rsid w:val="4A774328"/>
    <w:rsid w:val="4A9B00A5"/>
    <w:rsid w:val="4ACFFC51"/>
    <w:rsid w:val="4AFBEC7B"/>
    <w:rsid w:val="4B397B46"/>
    <w:rsid w:val="4B66B28A"/>
    <w:rsid w:val="4B6ECA75"/>
    <w:rsid w:val="4B7CB93D"/>
    <w:rsid w:val="4BFB0471"/>
    <w:rsid w:val="4BFFCC9A"/>
    <w:rsid w:val="4C0F5E73"/>
    <w:rsid w:val="4CFC98C0"/>
    <w:rsid w:val="4DB85E87"/>
    <w:rsid w:val="4DC08F53"/>
    <w:rsid w:val="4DFA27BE"/>
    <w:rsid w:val="4E2A041D"/>
    <w:rsid w:val="4E333AB0"/>
    <w:rsid w:val="4EF242E5"/>
    <w:rsid w:val="4F4FDD31"/>
    <w:rsid w:val="4F56094E"/>
    <w:rsid w:val="4F5C94D8"/>
    <w:rsid w:val="4F9B7E6D"/>
    <w:rsid w:val="4F9C7F80"/>
    <w:rsid w:val="4FBFBD52"/>
    <w:rsid w:val="4FD0C3A8"/>
    <w:rsid w:val="4FEFB751"/>
    <w:rsid w:val="4FF669C0"/>
    <w:rsid w:val="4FFB160B"/>
    <w:rsid w:val="4FFD2453"/>
    <w:rsid w:val="4FFE5C89"/>
    <w:rsid w:val="4FFED1AE"/>
    <w:rsid w:val="5010600D"/>
    <w:rsid w:val="503C00AB"/>
    <w:rsid w:val="51A7B17E"/>
    <w:rsid w:val="51BF7A9E"/>
    <w:rsid w:val="51FED7AB"/>
    <w:rsid w:val="52BBB1A6"/>
    <w:rsid w:val="52DB5931"/>
    <w:rsid w:val="5366428E"/>
    <w:rsid w:val="53EB67DB"/>
    <w:rsid w:val="53F75644"/>
    <w:rsid w:val="53FD93FC"/>
    <w:rsid w:val="53FF516A"/>
    <w:rsid w:val="54057713"/>
    <w:rsid w:val="5473C0D8"/>
    <w:rsid w:val="55DE39DC"/>
    <w:rsid w:val="5679E229"/>
    <w:rsid w:val="567DFA6C"/>
    <w:rsid w:val="56A74A38"/>
    <w:rsid w:val="56BDA942"/>
    <w:rsid w:val="56E53EBA"/>
    <w:rsid w:val="56ED7AA5"/>
    <w:rsid w:val="56FF4D89"/>
    <w:rsid w:val="575F207A"/>
    <w:rsid w:val="5770CDE8"/>
    <w:rsid w:val="5777172E"/>
    <w:rsid w:val="577B95E3"/>
    <w:rsid w:val="577BE0FB"/>
    <w:rsid w:val="579E00FA"/>
    <w:rsid w:val="579FE078"/>
    <w:rsid w:val="57B3C52F"/>
    <w:rsid w:val="57DCD6D1"/>
    <w:rsid w:val="57DF0F26"/>
    <w:rsid w:val="57EB15F5"/>
    <w:rsid w:val="57F5300E"/>
    <w:rsid w:val="57F5D0D8"/>
    <w:rsid w:val="57F7DC05"/>
    <w:rsid w:val="57FECDBD"/>
    <w:rsid w:val="57FEEF5E"/>
    <w:rsid w:val="57FF31CF"/>
    <w:rsid w:val="57FF4589"/>
    <w:rsid w:val="58BA3FB3"/>
    <w:rsid w:val="590F0F1B"/>
    <w:rsid w:val="59225F1E"/>
    <w:rsid w:val="59BDAE1C"/>
    <w:rsid w:val="59CFEE3C"/>
    <w:rsid w:val="59E5ED54"/>
    <w:rsid w:val="59FDE00A"/>
    <w:rsid w:val="59FF338B"/>
    <w:rsid w:val="5A7A42B1"/>
    <w:rsid w:val="5A7FEDDD"/>
    <w:rsid w:val="5AB52973"/>
    <w:rsid w:val="5AFE2133"/>
    <w:rsid w:val="5B223075"/>
    <w:rsid w:val="5B2B0890"/>
    <w:rsid w:val="5B3F1E91"/>
    <w:rsid w:val="5B512446"/>
    <w:rsid w:val="5B5D22F3"/>
    <w:rsid w:val="5B85F705"/>
    <w:rsid w:val="5BBFAFD4"/>
    <w:rsid w:val="5BD462C2"/>
    <w:rsid w:val="5BEFAF82"/>
    <w:rsid w:val="5BFF574B"/>
    <w:rsid w:val="5BFF6047"/>
    <w:rsid w:val="5BFFFAE0"/>
    <w:rsid w:val="5C1B260A"/>
    <w:rsid w:val="5CA9C88B"/>
    <w:rsid w:val="5CAFEFA8"/>
    <w:rsid w:val="5CFD55FB"/>
    <w:rsid w:val="5CFF92C5"/>
    <w:rsid w:val="5CFFF016"/>
    <w:rsid w:val="5D5B81B6"/>
    <w:rsid w:val="5D5F9B5B"/>
    <w:rsid w:val="5D6013B5"/>
    <w:rsid w:val="5D9EA240"/>
    <w:rsid w:val="5DB70D6C"/>
    <w:rsid w:val="5DBB83B5"/>
    <w:rsid w:val="5DF56F16"/>
    <w:rsid w:val="5DFD1315"/>
    <w:rsid w:val="5DFF132E"/>
    <w:rsid w:val="5DFFFC7A"/>
    <w:rsid w:val="5E1CB924"/>
    <w:rsid w:val="5E3A28F3"/>
    <w:rsid w:val="5E6F47B7"/>
    <w:rsid w:val="5E7A26CD"/>
    <w:rsid w:val="5E7B16DD"/>
    <w:rsid w:val="5ED47548"/>
    <w:rsid w:val="5ED51644"/>
    <w:rsid w:val="5EE2D334"/>
    <w:rsid w:val="5EEC5AA6"/>
    <w:rsid w:val="5EEEBFD9"/>
    <w:rsid w:val="5EF564BF"/>
    <w:rsid w:val="5EF77686"/>
    <w:rsid w:val="5EFA7CCD"/>
    <w:rsid w:val="5EFB6734"/>
    <w:rsid w:val="5EFF652F"/>
    <w:rsid w:val="5F1FFA1E"/>
    <w:rsid w:val="5F6FD935"/>
    <w:rsid w:val="5F772C77"/>
    <w:rsid w:val="5F77D142"/>
    <w:rsid w:val="5F8FC4D1"/>
    <w:rsid w:val="5F9FB6BF"/>
    <w:rsid w:val="5FAE4BA1"/>
    <w:rsid w:val="5FAF3AA5"/>
    <w:rsid w:val="5FB38453"/>
    <w:rsid w:val="5FB6AC95"/>
    <w:rsid w:val="5FBE1412"/>
    <w:rsid w:val="5FBE8B92"/>
    <w:rsid w:val="5FBEA8FA"/>
    <w:rsid w:val="5FBEB2C1"/>
    <w:rsid w:val="5FBF35C3"/>
    <w:rsid w:val="5FCE2647"/>
    <w:rsid w:val="5FCFBB40"/>
    <w:rsid w:val="5FD2F836"/>
    <w:rsid w:val="5FDE67B6"/>
    <w:rsid w:val="5FDF91E9"/>
    <w:rsid w:val="5FDFDA3F"/>
    <w:rsid w:val="5FEFC673"/>
    <w:rsid w:val="5FF7B526"/>
    <w:rsid w:val="5FF7E2D1"/>
    <w:rsid w:val="5FF818EC"/>
    <w:rsid w:val="5FFB2779"/>
    <w:rsid w:val="5FFD16DB"/>
    <w:rsid w:val="5FFD66F5"/>
    <w:rsid w:val="5FFE3EC3"/>
    <w:rsid w:val="5FFF16D6"/>
    <w:rsid w:val="5FFF581C"/>
    <w:rsid w:val="5FFF6781"/>
    <w:rsid w:val="5FFFA6CC"/>
    <w:rsid w:val="60722D40"/>
    <w:rsid w:val="614B4BA2"/>
    <w:rsid w:val="61AA3F7A"/>
    <w:rsid w:val="61BC3386"/>
    <w:rsid w:val="61C6208A"/>
    <w:rsid w:val="61D62DD6"/>
    <w:rsid w:val="635F6559"/>
    <w:rsid w:val="63BBFD66"/>
    <w:rsid w:val="63BF44DD"/>
    <w:rsid w:val="63CF25DA"/>
    <w:rsid w:val="640F0FD1"/>
    <w:rsid w:val="64D5464A"/>
    <w:rsid w:val="657F6220"/>
    <w:rsid w:val="667B9779"/>
    <w:rsid w:val="66DC2339"/>
    <w:rsid w:val="66E65A11"/>
    <w:rsid w:val="66EC1703"/>
    <w:rsid w:val="66EF73B1"/>
    <w:rsid w:val="66F7DCE0"/>
    <w:rsid w:val="676F1EE7"/>
    <w:rsid w:val="679F1134"/>
    <w:rsid w:val="679FF3C2"/>
    <w:rsid w:val="67BE51B8"/>
    <w:rsid w:val="67EBCFC6"/>
    <w:rsid w:val="67F7968A"/>
    <w:rsid w:val="67F7A446"/>
    <w:rsid w:val="67FA8BC0"/>
    <w:rsid w:val="67FD5181"/>
    <w:rsid w:val="67FF9C15"/>
    <w:rsid w:val="68969C9F"/>
    <w:rsid w:val="68F7FDEB"/>
    <w:rsid w:val="69D74591"/>
    <w:rsid w:val="6A754D61"/>
    <w:rsid w:val="6ABB3BCC"/>
    <w:rsid w:val="6AD9CB5F"/>
    <w:rsid w:val="6B6FEF1B"/>
    <w:rsid w:val="6B7BB4D8"/>
    <w:rsid w:val="6B7F34A6"/>
    <w:rsid w:val="6B9F6660"/>
    <w:rsid w:val="6B9F77E5"/>
    <w:rsid w:val="6BAD52EA"/>
    <w:rsid w:val="6BAFFD22"/>
    <w:rsid w:val="6BBEE0EF"/>
    <w:rsid w:val="6BC978DB"/>
    <w:rsid w:val="6BDE353A"/>
    <w:rsid w:val="6BF607CF"/>
    <w:rsid w:val="6BFF5A29"/>
    <w:rsid w:val="6BFF7DE0"/>
    <w:rsid w:val="6BFFA601"/>
    <w:rsid w:val="6C8F50BA"/>
    <w:rsid w:val="6CB41646"/>
    <w:rsid w:val="6CDA9AF9"/>
    <w:rsid w:val="6CFF2D46"/>
    <w:rsid w:val="6D575993"/>
    <w:rsid w:val="6D7DE1EF"/>
    <w:rsid w:val="6DA66A9D"/>
    <w:rsid w:val="6DAB73B3"/>
    <w:rsid w:val="6DADF3E0"/>
    <w:rsid w:val="6DAF64DF"/>
    <w:rsid w:val="6DB7C2E2"/>
    <w:rsid w:val="6DBF201E"/>
    <w:rsid w:val="6DBF7BF6"/>
    <w:rsid w:val="6DBFD62A"/>
    <w:rsid w:val="6DBFF8C1"/>
    <w:rsid w:val="6DDDC08E"/>
    <w:rsid w:val="6DE63062"/>
    <w:rsid w:val="6DF54570"/>
    <w:rsid w:val="6DF77101"/>
    <w:rsid w:val="6DFDA1D2"/>
    <w:rsid w:val="6E3FDFFA"/>
    <w:rsid w:val="6E5F303A"/>
    <w:rsid w:val="6E673CDE"/>
    <w:rsid w:val="6E7FC56D"/>
    <w:rsid w:val="6EAFC04F"/>
    <w:rsid w:val="6ED71644"/>
    <w:rsid w:val="6EDF3DD2"/>
    <w:rsid w:val="6EEFA75F"/>
    <w:rsid w:val="6EF9BDEC"/>
    <w:rsid w:val="6EFB32A5"/>
    <w:rsid w:val="6EFE0942"/>
    <w:rsid w:val="6F32C44A"/>
    <w:rsid w:val="6F4EFC3D"/>
    <w:rsid w:val="6F65042B"/>
    <w:rsid w:val="6F759D2A"/>
    <w:rsid w:val="6F7C55FE"/>
    <w:rsid w:val="6F7F2329"/>
    <w:rsid w:val="6F8F30B4"/>
    <w:rsid w:val="6FBB27F8"/>
    <w:rsid w:val="6FBD5C8C"/>
    <w:rsid w:val="6FD740C9"/>
    <w:rsid w:val="6FDA47EA"/>
    <w:rsid w:val="6FDEC236"/>
    <w:rsid w:val="6FEA73A3"/>
    <w:rsid w:val="6FEACBCE"/>
    <w:rsid w:val="6FEF09E6"/>
    <w:rsid w:val="6FEF94CE"/>
    <w:rsid w:val="6FEFA6D1"/>
    <w:rsid w:val="6FEFB42E"/>
    <w:rsid w:val="6FF08B72"/>
    <w:rsid w:val="6FF31723"/>
    <w:rsid w:val="6FF5C39D"/>
    <w:rsid w:val="6FF74B54"/>
    <w:rsid w:val="6FF79A08"/>
    <w:rsid w:val="6FFBA631"/>
    <w:rsid w:val="6FFD62D4"/>
    <w:rsid w:val="6FFDD23E"/>
    <w:rsid w:val="6FFEABCA"/>
    <w:rsid w:val="6FFEBFE5"/>
    <w:rsid w:val="6FFF438D"/>
    <w:rsid w:val="6FFF59F7"/>
    <w:rsid w:val="71447D7B"/>
    <w:rsid w:val="7173DEBB"/>
    <w:rsid w:val="71D59446"/>
    <w:rsid w:val="71DF8B86"/>
    <w:rsid w:val="7257DB7E"/>
    <w:rsid w:val="727EC58D"/>
    <w:rsid w:val="72DE9678"/>
    <w:rsid w:val="72FA7737"/>
    <w:rsid w:val="73260EE2"/>
    <w:rsid w:val="732FA40D"/>
    <w:rsid w:val="735ED4D2"/>
    <w:rsid w:val="735EF473"/>
    <w:rsid w:val="73AFF61C"/>
    <w:rsid w:val="73BF1F48"/>
    <w:rsid w:val="73DF60A1"/>
    <w:rsid w:val="73DFFB70"/>
    <w:rsid w:val="73F71A41"/>
    <w:rsid w:val="73F9924F"/>
    <w:rsid w:val="73FB173F"/>
    <w:rsid w:val="73FF02A0"/>
    <w:rsid w:val="73FFADA7"/>
    <w:rsid w:val="7475F99D"/>
    <w:rsid w:val="747F6112"/>
    <w:rsid w:val="74EFA8A3"/>
    <w:rsid w:val="74FD99B9"/>
    <w:rsid w:val="754FF7DD"/>
    <w:rsid w:val="755FBBFD"/>
    <w:rsid w:val="7573D05F"/>
    <w:rsid w:val="757DE146"/>
    <w:rsid w:val="757F12D9"/>
    <w:rsid w:val="757FEB67"/>
    <w:rsid w:val="759E0D07"/>
    <w:rsid w:val="75B8E0D2"/>
    <w:rsid w:val="75D76188"/>
    <w:rsid w:val="75ED5D32"/>
    <w:rsid w:val="75EF8364"/>
    <w:rsid w:val="75F32FE4"/>
    <w:rsid w:val="75F3F9D1"/>
    <w:rsid w:val="75F7676D"/>
    <w:rsid w:val="75F7AF82"/>
    <w:rsid w:val="75FB02CB"/>
    <w:rsid w:val="76100867"/>
    <w:rsid w:val="763BA238"/>
    <w:rsid w:val="763F54FE"/>
    <w:rsid w:val="765F6C80"/>
    <w:rsid w:val="76673789"/>
    <w:rsid w:val="767B0636"/>
    <w:rsid w:val="76839640"/>
    <w:rsid w:val="768F5731"/>
    <w:rsid w:val="76B55B5A"/>
    <w:rsid w:val="76BF4C8C"/>
    <w:rsid w:val="76DF3A8F"/>
    <w:rsid w:val="76E70BFC"/>
    <w:rsid w:val="76F4EB67"/>
    <w:rsid w:val="76F57410"/>
    <w:rsid w:val="76FDCE8A"/>
    <w:rsid w:val="76FFBF37"/>
    <w:rsid w:val="76FFE4E7"/>
    <w:rsid w:val="7711F566"/>
    <w:rsid w:val="771B067F"/>
    <w:rsid w:val="7721673D"/>
    <w:rsid w:val="7733A024"/>
    <w:rsid w:val="7737FD2F"/>
    <w:rsid w:val="773D0C0F"/>
    <w:rsid w:val="774AF791"/>
    <w:rsid w:val="775F58D8"/>
    <w:rsid w:val="775FB74B"/>
    <w:rsid w:val="776F08D4"/>
    <w:rsid w:val="77773775"/>
    <w:rsid w:val="779C19EA"/>
    <w:rsid w:val="779ED40F"/>
    <w:rsid w:val="779F06B9"/>
    <w:rsid w:val="77A52B35"/>
    <w:rsid w:val="77BD8609"/>
    <w:rsid w:val="77BDE626"/>
    <w:rsid w:val="77BF459D"/>
    <w:rsid w:val="77BF82FA"/>
    <w:rsid w:val="77BFAB18"/>
    <w:rsid w:val="77C4818D"/>
    <w:rsid w:val="77C71EF2"/>
    <w:rsid w:val="77CB5197"/>
    <w:rsid w:val="77CEA3F4"/>
    <w:rsid w:val="77CEDCB6"/>
    <w:rsid w:val="77D303A4"/>
    <w:rsid w:val="77D529FA"/>
    <w:rsid w:val="77D709FE"/>
    <w:rsid w:val="77D79449"/>
    <w:rsid w:val="77D95D54"/>
    <w:rsid w:val="77DA0104"/>
    <w:rsid w:val="77DB90F1"/>
    <w:rsid w:val="77DD1119"/>
    <w:rsid w:val="77DF5B6A"/>
    <w:rsid w:val="77DFBE5D"/>
    <w:rsid w:val="77E3C75F"/>
    <w:rsid w:val="77E54E54"/>
    <w:rsid w:val="77EB2788"/>
    <w:rsid w:val="77EBC1B2"/>
    <w:rsid w:val="77ECF9D1"/>
    <w:rsid w:val="77ED25DB"/>
    <w:rsid w:val="77EEC29D"/>
    <w:rsid w:val="77EF4224"/>
    <w:rsid w:val="77EFBB60"/>
    <w:rsid w:val="77F1199A"/>
    <w:rsid w:val="77F2EB9F"/>
    <w:rsid w:val="77F33FFE"/>
    <w:rsid w:val="77F5E9C7"/>
    <w:rsid w:val="77F717CB"/>
    <w:rsid w:val="77F76A9A"/>
    <w:rsid w:val="77FB3A45"/>
    <w:rsid w:val="77FB44E6"/>
    <w:rsid w:val="77FBCCF9"/>
    <w:rsid w:val="77FBDF80"/>
    <w:rsid w:val="77FDA68D"/>
    <w:rsid w:val="77FEB1A5"/>
    <w:rsid w:val="77FF00A8"/>
    <w:rsid w:val="77FF161D"/>
    <w:rsid w:val="77FF653A"/>
    <w:rsid w:val="783267CC"/>
    <w:rsid w:val="78FED1BF"/>
    <w:rsid w:val="796F9182"/>
    <w:rsid w:val="799F25C5"/>
    <w:rsid w:val="79AB4B8B"/>
    <w:rsid w:val="79BA4102"/>
    <w:rsid w:val="79BED9CF"/>
    <w:rsid w:val="79BF5140"/>
    <w:rsid w:val="79E36FEF"/>
    <w:rsid w:val="79FDAACC"/>
    <w:rsid w:val="7A7E7596"/>
    <w:rsid w:val="7A7FBB7E"/>
    <w:rsid w:val="7AAFD19F"/>
    <w:rsid w:val="7ABF0A6E"/>
    <w:rsid w:val="7AD3A4C2"/>
    <w:rsid w:val="7AF826B2"/>
    <w:rsid w:val="7AFB2F2B"/>
    <w:rsid w:val="7AFEA4AF"/>
    <w:rsid w:val="7B3D761D"/>
    <w:rsid w:val="7B3E216F"/>
    <w:rsid w:val="7B3FB735"/>
    <w:rsid w:val="7B4A54B6"/>
    <w:rsid w:val="7B5ACCF2"/>
    <w:rsid w:val="7B5D70A9"/>
    <w:rsid w:val="7B5E3A9E"/>
    <w:rsid w:val="7B5FE0C5"/>
    <w:rsid w:val="7B606CEE"/>
    <w:rsid w:val="7B6A8427"/>
    <w:rsid w:val="7B751DD4"/>
    <w:rsid w:val="7B7F8EC0"/>
    <w:rsid w:val="7BAF171E"/>
    <w:rsid w:val="7BBFC0B9"/>
    <w:rsid w:val="7BBFC1FA"/>
    <w:rsid w:val="7BC73A84"/>
    <w:rsid w:val="7BCB8B01"/>
    <w:rsid w:val="7BDB52B8"/>
    <w:rsid w:val="7BEBAFD0"/>
    <w:rsid w:val="7BEC2FD2"/>
    <w:rsid w:val="7BED25C6"/>
    <w:rsid w:val="7BF517DA"/>
    <w:rsid w:val="7BF74E85"/>
    <w:rsid w:val="7BF7BC45"/>
    <w:rsid w:val="7BFDB1E9"/>
    <w:rsid w:val="7BFED4F5"/>
    <w:rsid w:val="7BFF1107"/>
    <w:rsid w:val="7BFF4086"/>
    <w:rsid w:val="7BFF44F3"/>
    <w:rsid w:val="7BFF6194"/>
    <w:rsid w:val="7C0FF333"/>
    <w:rsid w:val="7C2439F2"/>
    <w:rsid w:val="7C2D5B47"/>
    <w:rsid w:val="7C6EE73C"/>
    <w:rsid w:val="7C7F882A"/>
    <w:rsid w:val="7C86707B"/>
    <w:rsid w:val="7C9C92C6"/>
    <w:rsid w:val="7CA3E458"/>
    <w:rsid w:val="7CA5F4EA"/>
    <w:rsid w:val="7CBDEF72"/>
    <w:rsid w:val="7CCFFA52"/>
    <w:rsid w:val="7CD566E2"/>
    <w:rsid w:val="7CE41809"/>
    <w:rsid w:val="7CF5BEAD"/>
    <w:rsid w:val="7CFF4540"/>
    <w:rsid w:val="7CFF4798"/>
    <w:rsid w:val="7D3F3562"/>
    <w:rsid w:val="7D5FE8FB"/>
    <w:rsid w:val="7D67BC1E"/>
    <w:rsid w:val="7D6FA978"/>
    <w:rsid w:val="7D7E5381"/>
    <w:rsid w:val="7D7ECC60"/>
    <w:rsid w:val="7D7FE9FC"/>
    <w:rsid w:val="7D851E52"/>
    <w:rsid w:val="7D8FCEF7"/>
    <w:rsid w:val="7D9BBC76"/>
    <w:rsid w:val="7D9BC0B4"/>
    <w:rsid w:val="7D9FA82A"/>
    <w:rsid w:val="7D9FC8FE"/>
    <w:rsid w:val="7DAF6FEF"/>
    <w:rsid w:val="7DAF8020"/>
    <w:rsid w:val="7DB72CB9"/>
    <w:rsid w:val="7DBBEFEC"/>
    <w:rsid w:val="7DBF2D75"/>
    <w:rsid w:val="7DBFF201"/>
    <w:rsid w:val="7DD3165F"/>
    <w:rsid w:val="7DD5FB87"/>
    <w:rsid w:val="7DD7EB13"/>
    <w:rsid w:val="7DDEC5AE"/>
    <w:rsid w:val="7DDF2296"/>
    <w:rsid w:val="7DE32501"/>
    <w:rsid w:val="7DEF2C56"/>
    <w:rsid w:val="7DEFE984"/>
    <w:rsid w:val="7DF38E34"/>
    <w:rsid w:val="7DF46F31"/>
    <w:rsid w:val="7DF76130"/>
    <w:rsid w:val="7DF7ED51"/>
    <w:rsid w:val="7DF860B2"/>
    <w:rsid w:val="7DFD812F"/>
    <w:rsid w:val="7DFF27A2"/>
    <w:rsid w:val="7E2CB7DD"/>
    <w:rsid w:val="7E3CD3B5"/>
    <w:rsid w:val="7E3FB732"/>
    <w:rsid w:val="7E5BDA06"/>
    <w:rsid w:val="7E695EE4"/>
    <w:rsid w:val="7E6BEF93"/>
    <w:rsid w:val="7E796970"/>
    <w:rsid w:val="7E7F3FCA"/>
    <w:rsid w:val="7E9938FE"/>
    <w:rsid w:val="7EA7E538"/>
    <w:rsid w:val="7EAD9073"/>
    <w:rsid w:val="7EB6ABF2"/>
    <w:rsid w:val="7EB757E9"/>
    <w:rsid w:val="7EBBEC8C"/>
    <w:rsid w:val="7EBCC407"/>
    <w:rsid w:val="7EBF0D45"/>
    <w:rsid w:val="7EBFA13A"/>
    <w:rsid w:val="7EBFA53A"/>
    <w:rsid w:val="7EBFE1D0"/>
    <w:rsid w:val="7EC70F19"/>
    <w:rsid w:val="7ED5BE6A"/>
    <w:rsid w:val="7ED9DCB7"/>
    <w:rsid w:val="7EDAF21A"/>
    <w:rsid w:val="7EDD92F0"/>
    <w:rsid w:val="7EDE2574"/>
    <w:rsid w:val="7EE7A99D"/>
    <w:rsid w:val="7EED7B6F"/>
    <w:rsid w:val="7EEFCAB0"/>
    <w:rsid w:val="7EF59E23"/>
    <w:rsid w:val="7EF66F3E"/>
    <w:rsid w:val="7EF72771"/>
    <w:rsid w:val="7EF792E7"/>
    <w:rsid w:val="7EFBAFBA"/>
    <w:rsid w:val="7EFD39AC"/>
    <w:rsid w:val="7EFF0FC6"/>
    <w:rsid w:val="7EFF7138"/>
    <w:rsid w:val="7F2EE12D"/>
    <w:rsid w:val="7F37FD6C"/>
    <w:rsid w:val="7F3B9971"/>
    <w:rsid w:val="7F3D3E98"/>
    <w:rsid w:val="7F3E968A"/>
    <w:rsid w:val="7F3F2925"/>
    <w:rsid w:val="7F3F97F8"/>
    <w:rsid w:val="7F3FBB5F"/>
    <w:rsid w:val="7F41F51A"/>
    <w:rsid w:val="7F4B4BE8"/>
    <w:rsid w:val="7F4DC3B3"/>
    <w:rsid w:val="7F4F92AA"/>
    <w:rsid w:val="7F5BB3DF"/>
    <w:rsid w:val="7F5E2B01"/>
    <w:rsid w:val="7F5E3499"/>
    <w:rsid w:val="7F5F6F06"/>
    <w:rsid w:val="7F6D64F3"/>
    <w:rsid w:val="7F6F7049"/>
    <w:rsid w:val="7F6FC3C1"/>
    <w:rsid w:val="7F703E56"/>
    <w:rsid w:val="7F707AFE"/>
    <w:rsid w:val="7F7700C3"/>
    <w:rsid w:val="7F792E6F"/>
    <w:rsid w:val="7F7B892D"/>
    <w:rsid w:val="7F7B9281"/>
    <w:rsid w:val="7F7CE8C1"/>
    <w:rsid w:val="7F7D17CD"/>
    <w:rsid w:val="7F7D58EC"/>
    <w:rsid w:val="7F7E090A"/>
    <w:rsid w:val="7F7E1969"/>
    <w:rsid w:val="7F7E252D"/>
    <w:rsid w:val="7F7E7E30"/>
    <w:rsid w:val="7F7F1214"/>
    <w:rsid w:val="7F7F981C"/>
    <w:rsid w:val="7F7F9CD5"/>
    <w:rsid w:val="7F8A7031"/>
    <w:rsid w:val="7F8F15D4"/>
    <w:rsid w:val="7F992254"/>
    <w:rsid w:val="7F9CB51E"/>
    <w:rsid w:val="7F9D8C5D"/>
    <w:rsid w:val="7F9F5EB2"/>
    <w:rsid w:val="7FA73118"/>
    <w:rsid w:val="7FAFCE04"/>
    <w:rsid w:val="7FB4DE88"/>
    <w:rsid w:val="7FB76944"/>
    <w:rsid w:val="7FB7D264"/>
    <w:rsid w:val="7FBB01A8"/>
    <w:rsid w:val="7FBB440C"/>
    <w:rsid w:val="7FBB96D9"/>
    <w:rsid w:val="7FBCB0DF"/>
    <w:rsid w:val="7FBDA7BD"/>
    <w:rsid w:val="7FBE9232"/>
    <w:rsid w:val="7FBF83EA"/>
    <w:rsid w:val="7FBFA3A1"/>
    <w:rsid w:val="7FBFFC9B"/>
    <w:rsid w:val="7FC5289D"/>
    <w:rsid w:val="7FCB3D74"/>
    <w:rsid w:val="7FCC7404"/>
    <w:rsid w:val="7FCDACF3"/>
    <w:rsid w:val="7FD5F9EA"/>
    <w:rsid w:val="7FD98564"/>
    <w:rsid w:val="7FDB76E1"/>
    <w:rsid w:val="7FDB93D6"/>
    <w:rsid w:val="7FDD0BC3"/>
    <w:rsid w:val="7FDD725C"/>
    <w:rsid w:val="7FDE1432"/>
    <w:rsid w:val="7FDE4122"/>
    <w:rsid w:val="7FDE8A37"/>
    <w:rsid w:val="7FDF045F"/>
    <w:rsid w:val="7FDFF915"/>
    <w:rsid w:val="7FE75DC5"/>
    <w:rsid w:val="7FED1196"/>
    <w:rsid w:val="7FEE7296"/>
    <w:rsid w:val="7FEEDE96"/>
    <w:rsid w:val="7FEF38D3"/>
    <w:rsid w:val="7FEF4FF2"/>
    <w:rsid w:val="7FF3ED31"/>
    <w:rsid w:val="7FF41536"/>
    <w:rsid w:val="7FF4CCCF"/>
    <w:rsid w:val="7FF5854B"/>
    <w:rsid w:val="7FF703AC"/>
    <w:rsid w:val="7FF77989"/>
    <w:rsid w:val="7FF7E3CE"/>
    <w:rsid w:val="7FFA8CF3"/>
    <w:rsid w:val="7FFB5538"/>
    <w:rsid w:val="7FFB7A51"/>
    <w:rsid w:val="7FFB7E2E"/>
    <w:rsid w:val="7FFB92EA"/>
    <w:rsid w:val="7FFBC0D7"/>
    <w:rsid w:val="7FFBE280"/>
    <w:rsid w:val="7FFBFC3D"/>
    <w:rsid w:val="7FFC1F8D"/>
    <w:rsid w:val="7FFDB3F0"/>
    <w:rsid w:val="7FFEE317"/>
    <w:rsid w:val="7FFF021D"/>
    <w:rsid w:val="7FFF0E07"/>
    <w:rsid w:val="7FFF1925"/>
    <w:rsid w:val="7FFF5860"/>
    <w:rsid w:val="7FFF612E"/>
    <w:rsid w:val="7FFF7A4E"/>
    <w:rsid w:val="7FFF8D02"/>
    <w:rsid w:val="7FFFA171"/>
    <w:rsid w:val="7FFFA75C"/>
    <w:rsid w:val="7FFFD248"/>
    <w:rsid w:val="7FFFD668"/>
    <w:rsid w:val="8339C90E"/>
    <w:rsid w:val="85F70FEA"/>
    <w:rsid w:val="8B1B77B6"/>
    <w:rsid w:val="8BF3EDA6"/>
    <w:rsid w:val="8BF663F5"/>
    <w:rsid w:val="8BFEB40D"/>
    <w:rsid w:val="8BFF4D5B"/>
    <w:rsid w:val="8DFFA38D"/>
    <w:rsid w:val="8E6D0AC4"/>
    <w:rsid w:val="8EBB8A4F"/>
    <w:rsid w:val="8F77D89F"/>
    <w:rsid w:val="8F9EFF4E"/>
    <w:rsid w:val="8F9FBE19"/>
    <w:rsid w:val="8FDE2E3F"/>
    <w:rsid w:val="8FDF4174"/>
    <w:rsid w:val="8FEC8735"/>
    <w:rsid w:val="8FF7368D"/>
    <w:rsid w:val="95FB6C1C"/>
    <w:rsid w:val="969A83CB"/>
    <w:rsid w:val="96E3319D"/>
    <w:rsid w:val="96E7C523"/>
    <w:rsid w:val="96F3075C"/>
    <w:rsid w:val="96FF85AB"/>
    <w:rsid w:val="97C37A35"/>
    <w:rsid w:val="97E75ACB"/>
    <w:rsid w:val="97FF5AF3"/>
    <w:rsid w:val="97FFFCD5"/>
    <w:rsid w:val="985C60E9"/>
    <w:rsid w:val="99DD3337"/>
    <w:rsid w:val="9AC5536F"/>
    <w:rsid w:val="9B397CA4"/>
    <w:rsid w:val="9B75F937"/>
    <w:rsid w:val="9BBFEE18"/>
    <w:rsid w:val="9BDB0922"/>
    <w:rsid w:val="9BEAD031"/>
    <w:rsid w:val="9BFB8C8E"/>
    <w:rsid w:val="9BFF560C"/>
    <w:rsid w:val="9C7ACE82"/>
    <w:rsid w:val="9D4B5CFF"/>
    <w:rsid w:val="9D6F6B42"/>
    <w:rsid w:val="9E7FBC42"/>
    <w:rsid w:val="9EBF5D20"/>
    <w:rsid w:val="9EE7545A"/>
    <w:rsid w:val="9EFC99AB"/>
    <w:rsid w:val="9F7D2107"/>
    <w:rsid w:val="9F95F339"/>
    <w:rsid w:val="9F9A51B8"/>
    <w:rsid w:val="9FAB43F2"/>
    <w:rsid w:val="9FD9E973"/>
    <w:rsid w:val="9FDE659D"/>
    <w:rsid w:val="9FDFA4EC"/>
    <w:rsid w:val="9FEC05BB"/>
    <w:rsid w:val="9FF7098E"/>
    <w:rsid w:val="9FF7F441"/>
    <w:rsid w:val="9FFD55D7"/>
    <w:rsid w:val="9FFFBA0E"/>
    <w:rsid w:val="A0BFE962"/>
    <w:rsid w:val="A1FEABC8"/>
    <w:rsid w:val="A3737E36"/>
    <w:rsid w:val="A5BD093D"/>
    <w:rsid w:val="A5F7339F"/>
    <w:rsid w:val="A6D83B6D"/>
    <w:rsid w:val="A76D756C"/>
    <w:rsid w:val="A77FE8D5"/>
    <w:rsid w:val="A7BEEC79"/>
    <w:rsid w:val="A7DA6952"/>
    <w:rsid w:val="A7EDACCA"/>
    <w:rsid w:val="AA7D4E36"/>
    <w:rsid w:val="AB3F6B9D"/>
    <w:rsid w:val="AB53831F"/>
    <w:rsid w:val="AB7F7299"/>
    <w:rsid w:val="ABE78F81"/>
    <w:rsid w:val="AD5B0D5C"/>
    <w:rsid w:val="ADB7ACB9"/>
    <w:rsid w:val="ADBFD571"/>
    <w:rsid w:val="ADFB69BC"/>
    <w:rsid w:val="ADFFE055"/>
    <w:rsid w:val="AE6FFF8A"/>
    <w:rsid w:val="AEBD9E80"/>
    <w:rsid w:val="AED15E91"/>
    <w:rsid w:val="AEEFA92D"/>
    <w:rsid w:val="AF334E7C"/>
    <w:rsid w:val="AF690875"/>
    <w:rsid w:val="AF7E6BC7"/>
    <w:rsid w:val="AF7E83DF"/>
    <w:rsid w:val="AF7FC91B"/>
    <w:rsid w:val="AF838219"/>
    <w:rsid w:val="AF952053"/>
    <w:rsid w:val="AFB77100"/>
    <w:rsid w:val="AFBFF35F"/>
    <w:rsid w:val="AFDF2C71"/>
    <w:rsid w:val="AFE6709C"/>
    <w:rsid w:val="AFE7CF18"/>
    <w:rsid w:val="AFEBA60A"/>
    <w:rsid w:val="AFEEE139"/>
    <w:rsid w:val="AFF737E8"/>
    <w:rsid w:val="AFF76BD5"/>
    <w:rsid w:val="AFFB4A28"/>
    <w:rsid w:val="AFFE8DDB"/>
    <w:rsid w:val="AFFED6BD"/>
    <w:rsid w:val="AFFF3AD3"/>
    <w:rsid w:val="AFFF7320"/>
    <w:rsid w:val="AFFFF790"/>
    <w:rsid w:val="B2BFBDEB"/>
    <w:rsid w:val="B2FF7508"/>
    <w:rsid w:val="B35F1595"/>
    <w:rsid w:val="B37F60DA"/>
    <w:rsid w:val="B396DC7F"/>
    <w:rsid w:val="B4B74553"/>
    <w:rsid w:val="B4DF52A1"/>
    <w:rsid w:val="B4FAA368"/>
    <w:rsid w:val="B4FEF785"/>
    <w:rsid w:val="B537BF14"/>
    <w:rsid w:val="B53E9B80"/>
    <w:rsid w:val="B57F3992"/>
    <w:rsid w:val="B57FF360"/>
    <w:rsid w:val="B5B7AB7D"/>
    <w:rsid w:val="B5BEE8C5"/>
    <w:rsid w:val="B5FBEEFD"/>
    <w:rsid w:val="B5FF1DCC"/>
    <w:rsid w:val="B5FF76F1"/>
    <w:rsid w:val="B6D738A3"/>
    <w:rsid w:val="B6FB0C92"/>
    <w:rsid w:val="B769DF2A"/>
    <w:rsid w:val="B77D6575"/>
    <w:rsid w:val="B7BFF866"/>
    <w:rsid w:val="B7D519BE"/>
    <w:rsid w:val="B7DA0598"/>
    <w:rsid w:val="B7EBBFA0"/>
    <w:rsid w:val="B7EFABA3"/>
    <w:rsid w:val="B7F712A1"/>
    <w:rsid w:val="B7FB6308"/>
    <w:rsid w:val="B7FB6B46"/>
    <w:rsid w:val="B7FD08E8"/>
    <w:rsid w:val="B7FF3376"/>
    <w:rsid w:val="B7FFAC42"/>
    <w:rsid w:val="B8ABEF40"/>
    <w:rsid w:val="B91B2D30"/>
    <w:rsid w:val="B95B12AF"/>
    <w:rsid w:val="B96B9F9A"/>
    <w:rsid w:val="B97F6CFE"/>
    <w:rsid w:val="B9BF230B"/>
    <w:rsid w:val="B9D5EB5F"/>
    <w:rsid w:val="B9FFBEBF"/>
    <w:rsid w:val="BA7FD065"/>
    <w:rsid w:val="BACD960C"/>
    <w:rsid w:val="BAF7F39C"/>
    <w:rsid w:val="BAFF70E2"/>
    <w:rsid w:val="BB97879F"/>
    <w:rsid w:val="BBBF54CA"/>
    <w:rsid w:val="BBEFC16C"/>
    <w:rsid w:val="BCDDA758"/>
    <w:rsid w:val="BD2F3053"/>
    <w:rsid w:val="BD31A1DB"/>
    <w:rsid w:val="BD3FFC10"/>
    <w:rsid w:val="BD5DB899"/>
    <w:rsid w:val="BD5E0AF4"/>
    <w:rsid w:val="BD7DDF6D"/>
    <w:rsid w:val="BDAF7781"/>
    <w:rsid w:val="BDCECF04"/>
    <w:rsid w:val="BDF3E71D"/>
    <w:rsid w:val="BDFCAF64"/>
    <w:rsid w:val="BDFCD72C"/>
    <w:rsid w:val="BDFF5EA2"/>
    <w:rsid w:val="BE5911BA"/>
    <w:rsid w:val="BE7A53A0"/>
    <w:rsid w:val="BE7C559A"/>
    <w:rsid w:val="BE7E70FA"/>
    <w:rsid w:val="BE7F33BA"/>
    <w:rsid w:val="BEAF96E7"/>
    <w:rsid w:val="BECFDC8B"/>
    <w:rsid w:val="BEDD7F11"/>
    <w:rsid w:val="BEDFA478"/>
    <w:rsid w:val="BEDFB933"/>
    <w:rsid w:val="BEDFEE4C"/>
    <w:rsid w:val="BEEEBEAB"/>
    <w:rsid w:val="BEF9DBB0"/>
    <w:rsid w:val="BEFA3F85"/>
    <w:rsid w:val="BEFAA83D"/>
    <w:rsid w:val="BEFD63CE"/>
    <w:rsid w:val="BF01B179"/>
    <w:rsid w:val="BF179A1C"/>
    <w:rsid w:val="BF2F0C8B"/>
    <w:rsid w:val="BF3FD17C"/>
    <w:rsid w:val="BF7512BE"/>
    <w:rsid w:val="BF77478B"/>
    <w:rsid w:val="BF777822"/>
    <w:rsid w:val="BF7D7EE9"/>
    <w:rsid w:val="BF7EA688"/>
    <w:rsid w:val="BF7F7628"/>
    <w:rsid w:val="BF7F9381"/>
    <w:rsid w:val="BF8D844C"/>
    <w:rsid w:val="BF97AD4F"/>
    <w:rsid w:val="BFADE4C4"/>
    <w:rsid w:val="BFBD0837"/>
    <w:rsid w:val="BFBD3298"/>
    <w:rsid w:val="BFBF1A3D"/>
    <w:rsid w:val="BFBF7DAD"/>
    <w:rsid w:val="BFCD2BF5"/>
    <w:rsid w:val="BFD74923"/>
    <w:rsid w:val="BFDD694C"/>
    <w:rsid w:val="BFDE13F8"/>
    <w:rsid w:val="BFDF3248"/>
    <w:rsid w:val="BFEDBAD7"/>
    <w:rsid w:val="BFEFA63A"/>
    <w:rsid w:val="BFF3921D"/>
    <w:rsid w:val="BFF598F2"/>
    <w:rsid w:val="BFFB9228"/>
    <w:rsid w:val="BFFD56B5"/>
    <w:rsid w:val="BFFF1EF5"/>
    <w:rsid w:val="BFFF3F9A"/>
    <w:rsid w:val="BFFF61F4"/>
    <w:rsid w:val="BFFFA58A"/>
    <w:rsid w:val="BFFFAE6B"/>
    <w:rsid w:val="BFFFF44E"/>
    <w:rsid w:val="C0BFA5AD"/>
    <w:rsid w:val="C1BD554D"/>
    <w:rsid w:val="C5DF2CC9"/>
    <w:rsid w:val="C69E9D56"/>
    <w:rsid w:val="C6D764F8"/>
    <w:rsid w:val="C6FFE017"/>
    <w:rsid w:val="C7A394DC"/>
    <w:rsid w:val="C7BFC637"/>
    <w:rsid w:val="C7BFD65D"/>
    <w:rsid w:val="C7DFAA93"/>
    <w:rsid w:val="C7EFFE26"/>
    <w:rsid w:val="C8ED2D04"/>
    <w:rsid w:val="C9FF541B"/>
    <w:rsid w:val="CAF5EB3C"/>
    <w:rsid w:val="CBD3CD50"/>
    <w:rsid w:val="CBFE2EFE"/>
    <w:rsid w:val="CDAF64F6"/>
    <w:rsid w:val="CDD2C41F"/>
    <w:rsid w:val="CDF840EB"/>
    <w:rsid w:val="CDFB9B90"/>
    <w:rsid w:val="CDFC663C"/>
    <w:rsid w:val="CEB74734"/>
    <w:rsid w:val="CECE1BBD"/>
    <w:rsid w:val="CEFE433A"/>
    <w:rsid w:val="CEFF0454"/>
    <w:rsid w:val="CF83937F"/>
    <w:rsid w:val="CFDF2A5E"/>
    <w:rsid w:val="CFEE6B02"/>
    <w:rsid w:val="CFEE907A"/>
    <w:rsid w:val="CFF57802"/>
    <w:rsid w:val="CFF64B10"/>
    <w:rsid w:val="CFFF4FD8"/>
    <w:rsid w:val="CFFF7263"/>
    <w:rsid w:val="D263F8EB"/>
    <w:rsid w:val="D2FFBC7D"/>
    <w:rsid w:val="D33F8300"/>
    <w:rsid w:val="D37BE4C0"/>
    <w:rsid w:val="D3A904EF"/>
    <w:rsid w:val="D3EA3DF1"/>
    <w:rsid w:val="D3F90CB6"/>
    <w:rsid w:val="D3FD8D58"/>
    <w:rsid w:val="D47FEE2D"/>
    <w:rsid w:val="D5CF7143"/>
    <w:rsid w:val="D5FB75ED"/>
    <w:rsid w:val="D5FF1243"/>
    <w:rsid w:val="D677A3ED"/>
    <w:rsid w:val="D67E0642"/>
    <w:rsid w:val="D6FA51F8"/>
    <w:rsid w:val="D6FCB74D"/>
    <w:rsid w:val="D6FD5C6B"/>
    <w:rsid w:val="D6FF224D"/>
    <w:rsid w:val="D7360F4F"/>
    <w:rsid w:val="D75BA8EA"/>
    <w:rsid w:val="D76F9562"/>
    <w:rsid w:val="D7AFC207"/>
    <w:rsid w:val="D7B6DD46"/>
    <w:rsid w:val="D7BF6541"/>
    <w:rsid w:val="D7CCB4D3"/>
    <w:rsid w:val="D7E397AF"/>
    <w:rsid w:val="D7E6AA77"/>
    <w:rsid w:val="D7EBFB67"/>
    <w:rsid w:val="D7EFE957"/>
    <w:rsid w:val="D7F7269D"/>
    <w:rsid w:val="D7FFB4C3"/>
    <w:rsid w:val="D7FFE3FF"/>
    <w:rsid w:val="D87DA6DB"/>
    <w:rsid w:val="D87F030D"/>
    <w:rsid w:val="D8BCFBDA"/>
    <w:rsid w:val="D94E08C1"/>
    <w:rsid w:val="D97F4CF6"/>
    <w:rsid w:val="D9D2D825"/>
    <w:rsid w:val="D9E7957E"/>
    <w:rsid w:val="D9FB7299"/>
    <w:rsid w:val="D9FD2EF9"/>
    <w:rsid w:val="DA1E61B5"/>
    <w:rsid w:val="DAAA899C"/>
    <w:rsid w:val="DABE865A"/>
    <w:rsid w:val="DABFF903"/>
    <w:rsid w:val="DAEF0B94"/>
    <w:rsid w:val="DB3E8DD0"/>
    <w:rsid w:val="DBA75176"/>
    <w:rsid w:val="DBA97D6B"/>
    <w:rsid w:val="DBBB26D2"/>
    <w:rsid w:val="DBDF5687"/>
    <w:rsid w:val="DBED0053"/>
    <w:rsid w:val="DBEEA847"/>
    <w:rsid w:val="DBF7E74F"/>
    <w:rsid w:val="DBFBDEEA"/>
    <w:rsid w:val="DBFDC21D"/>
    <w:rsid w:val="DC1FC104"/>
    <w:rsid w:val="DC7DF088"/>
    <w:rsid w:val="DC7FB0A2"/>
    <w:rsid w:val="DCB9E1D7"/>
    <w:rsid w:val="DCEFABB2"/>
    <w:rsid w:val="DCF1BA8A"/>
    <w:rsid w:val="DCFD9A4A"/>
    <w:rsid w:val="DCFF10FC"/>
    <w:rsid w:val="DD1D2274"/>
    <w:rsid w:val="DD750787"/>
    <w:rsid w:val="DDAAC154"/>
    <w:rsid w:val="DDBB1908"/>
    <w:rsid w:val="DDBBBEEF"/>
    <w:rsid w:val="DDC7B176"/>
    <w:rsid w:val="DDDD4688"/>
    <w:rsid w:val="DDFF7395"/>
    <w:rsid w:val="DE573E33"/>
    <w:rsid w:val="DE7760BB"/>
    <w:rsid w:val="DE9E22F0"/>
    <w:rsid w:val="DEB747DB"/>
    <w:rsid w:val="DEBF5846"/>
    <w:rsid w:val="DED7E3B2"/>
    <w:rsid w:val="DED874D8"/>
    <w:rsid w:val="DEE398AD"/>
    <w:rsid w:val="DEEB891A"/>
    <w:rsid w:val="DEF7115B"/>
    <w:rsid w:val="DEF771EB"/>
    <w:rsid w:val="DEFD16CF"/>
    <w:rsid w:val="DEFE6339"/>
    <w:rsid w:val="DEFE6762"/>
    <w:rsid w:val="DEFE7873"/>
    <w:rsid w:val="DEFFF5E9"/>
    <w:rsid w:val="DF19F163"/>
    <w:rsid w:val="DF3FB95F"/>
    <w:rsid w:val="DF4F7EB9"/>
    <w:rsid w:val="DF676BD5"/>
    <w:rsid w:val="DF738B17"/>
    <w:rsid w:val="DF7F9510"/>
    <w:rsid w:val="DF7FE898"/>
    <w:rsid w:val="DF948776"/>
    <w:rsid w:val="DFA306CF"/>
    <w:rsid w:val="DFB3B8BE"/>
    <w:rsid w:val="DFBF0E8A"/>
    <w:rsid w:val="DFD74E44"/>
    <w:rsid w:val="DFD99B9E"/>
    <w:rsid w:val="DFDA0E48"/>
    <w:rsid w:val="DFDD3D4B"/>
    <w:rsid w:val="DFDF0C7A"/>
    <w:rsid w:val="DFDF11DA"/>
    <w:rsid w:val="DFDFC163"/>
    <w:rsid w:val="DFE3962B"/>
    <w:rsid w:val="DFE7CC9A"/>
    <w:rsid w:val="DFEB8AA1"/>
    <w:rsid w:val="DFEF1534"/>
    <w:rsid w:val="DFEF8F88"/>
    <w:rsid w:val="DFEFD79F"/>
    <w:rsid w:val="DFEFE181"/>
    <w:rsid w:val="DFF73160"/>
    <w:rsid w:val="DFF79867"/>
    <w:rsid w:val="DFF7E9E8"/>
    <w:rsid w:val="DFF9DBCA"/>
    <w:rsid w:val="DFFB786E"/>
    <w:rsid w:val="DFFC8299"/>
    <w:rsid w:val="DFFDA0B4"/>
    <w:rsid w:val="DFFDE78A"/>
    <w:rsid w:val="DFFE5123"/>
    <w:rsid w:val="DFFFE3E4"/>
    <w:rsid w:val="E07F3050"/>
    <w:rsid w:val="E0DF21B9"/>
    <w:rsid w:val="E17FD499"/>
    <w:rsid w:val="E1FFDB92"/>
    <w:rsid w:val="E2FD3B80"/>
    <w:rsid w:val="E33F80D5"/>
    <w:rsid w:val="E3A9ABF1"/>
    <w:rsid w:val="E3B7E658"/>
    <w:rsid w:val="E3BD5ECC"/>
    <w:rsid w:val="E3D7B578"/>
    <w:rsid w:val="E5BE5760"/>
    <w:rsid w:val="E5FE4D3D"/>
    <w:rsid w:val="E5FFE000"/>
    <w:rsid w:val="E697ACF7"/>
    <w:rsid w:val="E6B628B1"/>
    <w:rsid w:val="E6FFE4C9"/>
    <w:rsid w:val="E71787DC"/>
    <w:rsid w:val="E767B4F9"/>
    <w:rsid w:val="E77743AD"/>
    <w:rsid w:val="E79B85E4"/>
    <w:rsid w:val="E7AF88BB"/>
    <w:rsid w:val="E7D7042B"/>
    <w:rsid w:val="E7EF4CE9"/>
    <w:rsid w:val="E7EF58F3"/>
    <w:rsid w:val="E7F65BF8"/>
    <w:rsid w:val="E7FB3E77"/>
    <w:rsid w:val="E7FE40B6"/>
    <w:rsid w:val="E93BA612"/>
    <w:rsid w:val="E9DC37B6"/>
    <w:rsid w:val="E9E7A151"/>
    <w:rsid w:val="E9F71EFB"/>
    <w:rsid w:val="E9FC0EB3"/>
    <w:rsid w:val="EA3F6963"/>
    <w:rsid w:val="EABBE074"/>
    <w:rsid w:val="EABF7023"/>
    <w:rsid w:val="EAD7D96A"/>
    <w:rsid w:val="EADA3F9B"/>
    <w:rsid w:val="EAEF5C03"/>
    <w:rsid w:val="EB26F899"/>
    <w:rsid w:val="EB77A934"/>
    <w:rsid w:val="EB7B6B7F"/>
    <w:rsid w:val="EBB8D40C"/>
    <w:rsid w:val="EBBF5589"/>
    <w:rsid w:val="EBCF3243"/>
    <w:rsid w:val="EBD62872"/>
    <w:rsid w:val="EBDED2E7"/>
    <w:rsid w:val="EBEF0B98"/>
    <w:rsid w:val="EBF72A40"/>
    <w:rsid w:val="EBF7433D"/>
    <w:rsid w:val="EBF7C8FB"/>
    <w:rsid w:val="EBFBC6B4"/>
    <w:rsid w:val="EBFDD436"/>
    <w:rsid w:val="EBFFD5ED"/>
    <w:rsid w:val="EC3AA4A8"/>
    <w:rsid w:val="ECBB13B4"/>
    <w:rsid w:val="ECFF3EAC"/>
    <w:rsid w:val="ED1D42B1"/>
    <w:rsid w:val="ED3B525C"/>
    <w:rsid w:val="ED5E4720"/>
    <w:rsid w:val="ED64E277"/>
    <w:rsid w:val="ED6E7CA4"/>
    <w:rsid w:val="ED75DECC"/>
    <w:rsid w:val="ED7F198F"/>
    <w:rsid w:val="ED9FE6BB"/>
    <w:rsid w:val="EDBE90C5"/>
    <w:rsid w:val="EDDA5EB3"/>
    <w:rsid w:val="EDEF87D4"/>
    <w:rsid w:val="EDF447C2"/>
    <w:rsid w:val="EDFD9A98"/>
    <w:rsid w:val="EDFEF1D7"/>
    <w:rsid w:val="EDFF113E"/>
    <w:rsid w:val="EE7BA94F"/>
    <w:rsid w:val="EEB7A025"/>
    <w:rsid w:val="EEBF463B"/>
    <w:rsid w:val="EED6EBD5"/>
    <w:rsid w:val="EED7A7C8"/>
    <w:rsid w:val="EEEB1130"/>
    <w:rsid w:val="EEFE0FF8"/>
    <w:rsid w:val="EEFEB432"/>
    <w:rsid w:val="EF0B0F43"/>
    <w:rsid w:val="EF19582C"/>
    <w:rsid w:val="EF3F7173"/>
    <w:rsid w:val="EF4B40A4"/>
    <w:rsid w:val="EF4BE475"/>
    <w:rsid w:val="EF6480AE"/>
    <w:rsid w:val="EF673D8E"/>
    <w:rsid w:val="EF6DE3D6"/>
    <w:rsid w:val="EF737478"/>
    <w:rsid w:val="EF738B24"/>
    <w:rsid w:val="EF766670"/>
    <w:rsid w:val="EF769989"/>
    <w:rsid w:val="EF7AF436"/>
    <w:rsid w:val="EF7D3690"/>
    <w:rsid w:val="EFA3097E"/>
    <w:rsid w:val="EFA7F4A7"/>
    <w:rsid w:val="EFAFB882"/>
    <w:rsid w:val="EFB48113"/>
    <w:rsid w:val="EFBC0F00"/>
    <w:rsid w:val="EFBDE64D"/>
    <w:rsid w:val="EFBF1CB6"/>
    <w:rsid w:val="EFBF4A76"/>
    <w:rsid w:val="EFBF8788"/>
    <w:rsid w:val="EFDF0F5C"/>
    <w:rsid w:val="EFDF7CD4"/>
    <w:rsid w:val="EFDFEBB9"/>
    <w:rsid w:val="EFED96AF"/>
    <w:rsid w:val="EFEF1D96"/>
    <w:rsid w:val="EFEF236A"/>
    <w:rsid w:val="EFF6A139"/>
    <w:rsid w:val="EFF7C821"/>
    <w:rsid w:val="EFF80D09"/>
    <w:rsid w:val="EFFA8FDF"/>
    <w:rsid w:val="EFFAA278"/>
    <w:rsid w:val="EFFB3EA4"/>
    <w:rsid w:val="EFFBF35A"/>
    <w:rsid w:val="EFFCFC6A"/>
    <w:rsid w:val="EFFD5802"/>
    <w:rsid w:val="EFFD9FCB"/>
    <w:rsid w:val="EFFE2497"/>
    <w:rsid w:val="EFFE36DC"/>
    <w:rsid w:val="EFFEE68F"/>
    <w:rsid w:val="EFFF0021"/>
    <w:rsid w:val="EFFF87A0"/>
    <w:rsid w:val="EFFFA016"/>
    <w:rsid w:val="EFFFC85D"/>
    <w:rsid w:val="EFFFFDC1"/>
    <w:rsid w:val="F0ACB5FD"/>
    <w:rsid w:val="F0DFFE6D"/>
    <w:rsid w:val="F1842A02"/>
    <w:rsid w:val="F1BFDBC4"/>
    <w:rsid w:val="F1DF7A4E"/>
    <w:rsid w:val="F1FBF02E"/>
    <w:rsid w:val="F1FE1618"/>
    <w:rsid w:val="F2D5A025"/>
    <w:rsid w:val="F31F5149"/>
    <w:rsid w:val="F32BF48E"/>
    <w:rsid w:val="F3576E42"/>
    <w:rsid w:val="F39A3E9F"/>
    <w:rsid w:val="F3B7EF1F"/>
    <w:rsid w:val="F3E71E33"/>
    <w:rsid w:val="F3EFB360"/>
    <w:rsid w:val="F3EFD60D"/>
    <w:rsid w:val="F47F19BA"/>
    <w:rsid w:val="F48FE1C8"/>
    <w:rsid w:val="F4B31972"/>
    <w:rsid w:val="F4D14C13"/>
    <w:rsid w:val="F4E90AE4"/>
    <w:rsid w:val="F4FED908"/>
    <w:rsid w:val="F5653B02"/>
    <w:rsid w:val="F577E98F"/>
    <w:rsid w:val="F57B4B08"/>
    <w:rsid w:val="F57E8666"/>
    <w:rsid w:val="F5A27D83"/>
    <w:rsid w:val="F5BE055A"/>
    <w:rsid w:val="F5BF74BF"/>
    <w:rsid w:val="F5BFD85D"/>
    <w:rsid w:val="F5F34D10"/>
    <w:rsid w:val="F5FE236C"/>
    <w:rsid w:val="F63F1C4C"/>
    <w:rsid w:val="F679E1E6"/>
    <w:rsid w:val="F6CF39A6"/>
    <w:rsid w:val="F6D6A12B"/>
    <w:rsid w:val="F6D75232"/>
    <w:rsid w:val="F6DCC84B"/>
    <w:rsid w:val="F6DE73DD"/>
    <w:rsid w:val="F6F588B4"/>
    <w:rsid w:val="F6F71EAC"/>
    <w:rsid w:val="F6FEE64F"/>
    <w:rsid w:val="F71FEE83"/>
    <w:rsid w:val="F73DB7E1"/>
    <w:rsid w:val="F73FBD8C"/>
    <w:rsid w:val="F74F6A68"/>
    <w:rsid w:val="F75CBBD4"/>
    <w:rsid w:val="F75E641B"/>
    <w:rsid w:val="F76DD06B"/>
    <w:rsid w:val="F76F5C22"/>
    <w:rsid w:val="F77CC5CD"/>
    <w:rsid w:val="F77E780D"/>
    <w:rsid w:val="F7AB3FD1"/>
    <w:rsid w:val="F7AD73F4"/>
    <w:rsid w:val="F7BB7F6E"/>
    <w:rsid w:val="F7BB8024"/>
    <w:rsid w:val="F7BD180D"/>
    <w:rsid w:val="F7BFD1BB"/>
    <w:rsid w:val="F7CAA869"/>
    <w:rsid w:val="F7D9A50E"/>
    <w:rsid w:val="F7DF9363"/>
    <w:rsid w:val="F7EAB52C"/>
    <w:rsid w:val="F7EEDEF9"/>
    <w:rsid w:val="F7EF5E1D"/>
    <w:rsid w:val="F7EFDA2F"/>
    <w:rsid w:val="F7F73A4A"/>
    <w:rsid w:val="F7FC2D2A"/>
    <w:rsid w:val="F7FC562F"/>
    <w:rsid w:val="F7FDF42A"/>
    <w:rsid w:val="F7FE209D"/>
    <w:rsid w:val="F7FEC5DA"/>
    <w:rsid w:val="F7FF161F"/>
    <w:rsid w:val="F7FF60FD"/>
    <w:rsid w:val="F7FF8659"/>
    <w:rsid w:val="F7FFC270"/>
    <w:rsid w:val="F847D0D9"/>
    <w:rsid w:val="F8BFACFF"/>
    <w:rsid w:val="F8FF1315"/>
    <w:rsid w:val="F96C10BC"/>
    <w:rsid w:val="F9757189"/>
    <w:rsid w:val="F97FA49E"/>
    <w:rsid w:val="F9B738FC"/>
    <w:rsid w:val="F9E79FF3"/>
    <w:rsid w:val="F9EEB270"/>
    <w:rsid w:val="F9F61225"/>
    <w:rsid w:val="F9FB7F46"/>
    <w:rsid w:val="F9FD8822"/>
    <w:rsid w:val="F9FF4780"/>
    <w:rsid w:val="F9FF5072"/>
    <w:rsid w:val="FA2F606E"/>
    <w:rsid w:val="FA7DD1AD"/>
    <w:rsid w:val="FA9D8F13"/>
    <w:rsid w:val="FABC385E"/>
    <w:rsid w:val="FABFC1E0"/>
    <w:rsid w:val="FAEF619B"/>
    <w:rsid w:val="FAF3A55F"/>
    <w:rsid w:val="FAF7F24E"/>
    <w:rsid w:val="FB1F6C84"/>
    <w:rsid w:val="FB239D35"/>
    <w:rsid w:val="FB35CFBE"/>
    <w:rsid w:val="FB3BD7B7"/>
    <w:rsid w:val="FB6DB7A9"/>
    <w:rsid w:val="FB6E079A"/>
    <w:rsid w:val="FB6EF694"/>
    <w:rsid w:val="FB75E9A8"/>
    <w:rsid w:val="FB7B26D6"/>
    <w:rsid w:val="FB7E255A"/>
    <w:rsid w:val="FB7F8AD1"/>
    <w:rsid w:val="FB7FF396"/>
    <w:rsid w:val="FB9FF9BC"/>
    <w:rsid w:val="FBB76629"/>
    <w:rsid w:val="FBBB138F"/>
    <w:rsid w:val="FBBDA89F"/>
    <w:rsid w:val="FBBF7481"/>
    <w:rsid w:val="FBBFDA31"/>
    <w:rsid w:val="FBCBFDB3"/>
    <w:rsid w:val="FBD7B89E"/>
    <w:rsid w:val="FBDE5387"/>
    <w:rsid w:val="FBE460B9"/>
    <w:rsid w:val="FBE54F2D"/>
    <w:rsid w:val="FBEF5334"/>
    <w:rsid w:val="FBF38C36"/>
    <w:rsid w:val="FBF3FA49"/>
    <w:rsid w:val="FBF53BD2"/>
    <w:rsid w:val="FBF7F91A"/>
    <w:rsid w:val="FBFA1240"/>
    <w:rsid w:val="FBFB0D98"/>
    <w:rsid w:val="FBFC532E"/>
    <w:rsid w:val="FBFF31DA"/>
    <w:rsid w:val="FBFF8996"/>
    <w:rsid w:val="FBFF8CBA"/>
    <w:rsid w:val="FC7F8E47"/>
    <w:rsid w:val="FCBAF6F0"/>
    <w:rsid w:val="FCBBFDD4"/>
    <w:rsid w:val="FCDF51DF"/>
    <w:rsid w:val="FCDF69D7"/>
    <w:rsid w:val="FCF7FADE"/>
    <w:rsid w:val="FCFB502A"/>
    <w:rsid w:val="FD3FCC8A"/>
    <w:rsid w:val="FD6B62FF"/>
    <w:rsid w:val="FD720937"/>
    <w:rsid w:val="FD770E9C"/>
    <w:rsid w:val="FD77A67F"/>
    <w:rsid w:val="FD7B0BFA"/>
    <w:rsid w:val="FDB9C243"/>
    <w:rsid w:val="FDC69ABD"/>
    <w:rsid w:val="FDCF770E"/>
    <w:rsid w:val="FDD7433B"/>
    <w:rsid w:val="FDD79ACF"/>
    <w:rsid w:val="FDDA01FD"/>
    <w:rsid w:val="FDDBFE23"/>
    <w:rsid w:val="FDDE9F98"/>
    <w:rsid w:val="FDDF6EE3"/>
    <w:rsid w:val="FDDFC2F1"/>
    <w:rsid w:val="FDE3B26F"/>
    <w:rsid w:val="FDEED011"/>
    <w:rsid w:val="FDEF8B6C"/>
    <w:rsid w:val="FDF6A412"/>
    <w:rsid w:val="FDFB5D9C"/>
    <w:rsid w:val="FDFC955F"/>
    <w:rsid w:val="FDFDEB94"/>
    <w:rsid w:val="FDFEE05F"/>
    <w:rsid w:val="FDFF8485"/>
    <w:rsid w:val="FE6D6833"/>
    <w:rsid w:val="FE71D230"/>
    <w:rsid w:val="FE7B3E5A"/>
    <w:rsid w:val="FE7FEFB3"/>
    <w:rsid w:val="FE879453"/>
    <w:rsid w:val="FE9DA27E"/>
    <w:rsid w:val="FEAE66D7"/>
    <w:rsid w:val="FEAF1633"/>
    <w:rsid w:val="FEBA94D9"/>
    <w:rsid w:val="FEBDF0C0"/>
    <w:rsid w:val="FEBFC5EB"/>
    <w:rsid w:val="FECEE2D2"/>
    <w:rsid w:val="FECF5DF6"/>
    <w:rsid w:val="FED56D6B"/>
    <w:rsid w:val="FEDFF52A"/>
    <w:rsid w:val="FEEB401B"/>
    <w:rsid w:val="FEEEBF88"/>
    <w:rsid w:val="FEEF65BF"/>
    <w:rsid w:val="FEF33502"/>
    <w:rsid w:val="FEF4556E"/>
    <w:rsid w:val="FEF62762"/>
    <w:rsid w:val="FEF76F9F"/>
    <w:rsid w:val="FEF79EBE"/>
    <w:rsid w:val="FEF95789"/>
    <w:rsid w:val="FEFADF64"/>
    <w:rsid w:val="FEFBE437"/>
    <w:rsid w:val="FEFC30B1"/>
    <w:rsid w:val="FEFF423E"/>
    <w:rsid w:val="FEFFBA19"/>
    <w:rsid w:val="FEFFF14B"/>
    <w:rsid w:val="FEFFF2A4"/>
    <w:rsid w:val="FF2F4324"/>
    <w:rsid w:val="FF386DED"/>
    <w:rsid w:val="FF3D584C"/>
    <w:rsid w:val="FF3DE1B6"/>
    <w:rsid w:val="FF3E5677"/>
    <w:rsid w:val="FF3F0D7A"/>
    <w:rsid w:val="FF3FB16D"/>
    <w:rsid w:val="FF4BC500"/>
    <w:rsid w:val="FF4FC604"/>
    <w:rsid w:val="FF576478"/>
    <w:rsid w:val="FF5F5B90"/>
    <w:rsid w:val="FF5FF72B"/>
    <w:rsid w:val="FF68CBA7"/>
    <w:rsid w:val="FF6DC42D"/>
    <w:rsid w:val="FF6DCBAC"/>
    <w:rsid w:val="FF6DDB7B"/>
    <w:rsid w:val="FF6E9A1B"/>
    <w:rsid w:val="FF6FBAE9"/>
    <w:rsid w:val="FF7568A4"/>
    <w:rsid w:val="FF75E825"/>
    <w:rsid w:val="FF7732A0"/>
    <w:rsid w:val="FF777856"/>
    <w:rsid w:val="FF77C192"/>
    <w:rsid w:val="FF77D426"/>
    <w:rsid w:val="FF7D2918"/>
    <w:rsid w:val="FF7E331A"/>
    <w:rsid w:val="FF7E92A4"/>
    <w:rsid w:val="FF7F14B9"/>
    <w:rsid w:val="FF7F50C0"/>
    <w:rsid w:val="FF7FEBFF"/>
    <w:rsid w:val="FF85F0FE"/>
    <w:rsid w:val="FF86DFF0"/>
    <w:rsid w:val="FF9C330D"/>
    <w:rsid w:val="FF9FA2F0"/>
    <w:rsid w:val="FFA6DB20"/>
    <w:rsid w:val="FFA745D6"/>
    <w:rsid w:val="FFA8F350"/>
    <w:rsid w:val="FFAF536A"/>
    <w:rsid w:val="FFAFC653"/>
    <w:rsid w:val="FFB144DE"/>
    <w:rsid w:val="FFB1D81F"/>
    <w:rsid w:val="FFB32B55"/>
    <w:rsid w:val="FFB55293"/>
    <w:rsid w:val="FFB590E7"/>
    <w:rsid w:val="FFB75A83"/>
    <w:rsid w:val="FFBB3776"/>
    <w:rsid w:val="FFBCB3DA"/>
    <w:rsid w:val="FFBDC695"/>
    <w:rsid w:val="FFBE8E6F"/>
    <w:rsid w:val="FFBF5CC2"/>
    <w:rsid w:val="FFBF7D4F"/>
    <w:rsid w:val="FFBFB186"/>
    <w:rsid w:val="FFBFB20F"/>
    <w:rsid w:val="FFCB873D"/>
    <w:rsid w:val="FFCBDB9D"/>
    <w:rsid w:val="FFCE6119"/>
    <w:rsid w:val="FFCF9146"/>
    <w:rsid w:val="FFD34653"/>
    <w:rsid w:val="FFD34A4E"/>
    <w:rsid w:val="FFD35D64"/>
    <w:rsid w:val="FFD3E900"/>
    <w:rsid w:val="FFD43419"/>
    <w:rsid w:val="FFD76100"/>
    <w:rsid w:val="FFD774A4"/>
    <w:rsid w:val="FFDA1B97"/>
    <w:rsid w:val="FFDBA888"/>
    <w:rsid w:val="FFDBCFED"/>
    <w:rsid w:val="FFDF1F63"/>
    <w:rsid w:val="FFDFFDBB"/>
    <w:rsid w:val="FFE7B36D"/>
    <w:rsid w:val="FFE7DE09"/>
    <w:rsid w:val="FFE86230"/>
    <w:rsid w:val="FFEBC37F"/>
    <w:rsid w:val="FFEE2DB9"/>
    <w:rsid w:val="FFEE3326"/>
    <w:rsid w:val="FFEF016D"/>
    <w:rsid w:val="FFEF3092"/>
    <w:rsid w:val="FFEFE7D7"/>
    <w:rsid w:val="FFF2B1D9"/>
    <w:rsid w:val="FFF3EC5B"/>
    <w:rsid w:val="FFF50527"/>
    <w:rsid w:val="FFF50FED"/>
    <w:rsid w:val="FFF5335A"/>
    <w:rsid w:val="FFF6EFB9"/>
    <w:rsid w:val="FFF74FA9"/>
    <w:rsid w:val="FFF7953A"/>
    <w:rsid w:val="FFF7AFB9"/>
    <w:rsid w:val="FFF7E3F2"/>
    <w:rsid w:val="FFFAFA2B"/>
    <w:rsid w:val="FFFAFD69"/>
    <w:rsid w:val="FFFB38D7"/>
    <w:rsid w:val="FFFC559B"/>
    <w:rsid w:val="FFFD4BE8"/>
    <w:rsid w:val="FFFD979D"/>
    <w:rsid w:val="FFFDB3F4"/>
    <w:rsid w:val="FFFDF796"/>
    <w:rsid w:val="FFFE5209"/>
    <w:rsid w:val="FFFE746C"/>
    <w:rsid w:val="FFFEFCFD"/>
    <w:rsid w:val="FFFF23A6"/>
    <w:rsid w:val="FFFF5003"/>
    <w:rsid w:val="FFFF8DCE"/>
    <w:rsid w:val="FFFF9BBF"/>
    <w:rsid w:val="FFFFA177"/>
    <w:rsid w:val="FFFFC10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outlineLvl w:val="0"/>
    </w:pPr>
    <w:rPr>
      <w:rFonts w:eastAsia="方正小标宋简体"/>
      <w:kern w:val="44"/>
      <w:sz w:val="36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ind w:firstLine="720" w:firstLineChars="200"/>
      <w:outlineLvl w:val="1"/>
    </w:pPr>
    <w:rPr>
      <w:rFonts w:ascii="Arial" w:hAnsi="Arial" w:eastAsia="方正黑体_GBK"/>
      <w:sz w:val="32"/>
    </w:rPr>
  </w:style>
  <w:style w:type="paragraph" w:styleId="5">
    <w:name w:val="heading 3"/>
    <w:basedOn w:val="1"/>
    <w:next w:val="1"/>
    <w:unhideWhenUsed/>
    <w:qFormat/>
    <w:uiPriority w:val="0"/>
    <w:pPr>
      <w:keepNext/>
      <w:keepLines/>
      <w:ind w:firstLine="720" w:firstLineChars="200"/>
      <w:outlineLvl w:val="2"/>
    </w:pPr>
    <w:rPr>
      <w:rFonts w:eastAsia="CESI楷体-GB2312"/>
      <w:sz w:val="32"/>
    </w:rPr>
  </w:style>
  <w:style w:type="character" w:default="1" w:styleId="14">
    <w:name w:val="Default Paragraph Font"/>
    <w:unhideWhenUsed/>
    <w:qFormat/>
    <w:uiPriority w:val="1"/>
  </w:style>
  <w:style w:type="table" w:default="1" w:styleId="1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Indent"/>
    <w:basedOn w:val="1"/>
    <w:qFormat/>
    <w:uiPriority w:val="0"/>
    <w:pPr>
      <w:ind w:firstLine="420" w:firstLineChars="200"/>
      <w:textAlignment w:val="baseline"/>
    </w:pPr>
    <w:rPr>
      <w:rFonts w:ascii="Calibri" w:hAnsi="Calibri"/>
      <w:szCs w:val="21"/>
    </w:rPr>
  </w:style>
  <w:style w:type="paragraph" w:styleId="6">
    <w:name w:val="caption"/>
    <w:basedOn w:val="1"/>
    <w:next w:val="1"/>
    <w:unhideWhenUsed/>
    <w:qFormat/>
    <w:uiPriority w:val="0"/>
    <w:rPr>
      <w:rFonts w:ascii="Arial" w:hAnsi="Arial" w:eastAsia="黑体"/>
      <w:sz w:val="20"/>
    </w:rPr>
  </w:style>
  <w:style w:type="paragraph" w:styleId="7">
    <w:name w:val="Body Text Indent"/>
    <w:basedOn w:val="1"/>
    <w:next w:val="8"/>
    <w:unhideWhenUsed/>
    <w:qFormat/>
    <w:uiPriority w:val="0"/>
    <w:pPr>
      <w:spacing w:after="120"/>
      <w:ind w:left="420" w:leftChars="200"/>
    </w:pPr>
  </w:style>
  <w:style w:type="paragraph" w:styleId="8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Balloon Text"/>
    <w:basedOn w:val="1"/>
    <w:link w:val="17"/>
    <w:qFormat/>
    <w:uiPriority w:val="0"/>
    <w:rPr>
      <w:sz w:val="18"/>
      <w:szCs w:val="18"/>
    </w:rPr>
  </w:style>
  <w:style w:type="paragraph" w:styleId="10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2">
    <w:name w:val="Body Text First Indent 2"/>
    <w:basedOn w:val="7"/>
    <w:next w:val="1"/>
    <w:unhideWhenUsed/>
    <w:qFormat/>
    <w:uiPriority w:val="0"/>
    <w:pPr>
      <w:ind w:firstLine="560" w:firstLineChars="200"/>
      <w:jc w:val="left"/>
    </w:pPr>
  </w:style>
  <w:style w:type="character" w:styleId="15">
    <w:name w:val="Hyperlink"/>
    <w:basedOn w:val="14"/>
    <w:qFormat/>
    <w:uiPriority w:val="0"/>
    <w:rPr>
      <w:color w:val="0000FF"/>
      <w:u w:val="single"/>
    </w:rPr>
  </w:style>
  <w:style w:type="character" w:customStyle="1" w:styleId="16">
    <w:name w:val="页脚 Char"/>
    <w:basedOn w:val="14"/>
    <w:link w:val="8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7">
    <w:name w:val="批注框文本 Char"/>
    <w:basedOn w:val="14"/>
    <w:link w:val="9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8">
    <w:name w:val="页眉 Char"/>
    <w:basedOn w:val="14"/>
    <w:link w:val="10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4750</Words>
  <Characters>4859</Characters>
  <Lines>18</Lines>
  <Paragraphs>5</Paragraphs>
  <TotalTime>49</TotalTime>
  <ScaleCrop>false</ScaleCrop>
  <LinksUpToDate>false</LinksUpToDate>
  <CharactersWithSpaces>4877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2018-07-31T23:11:00Z</dcterms:created>
  <dc:creator>d</dc:creator>
  <cp:lastModifiedBy>user</cp:lastModifiedBy>
  <cp:lastPrinted>2022-11-01T23:14:00Z</cp:lastPrinted>
  <dcterms:modified xsi:type="dcterms:W3CDTF">2022-11-04T05:53:00Z</dcterms:modified>
  <cp:revision>221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  <property fmtid="{D5CDD505-2E9C-101B-9397-08002B2CF9AE}" pid="3" name="ICV">
    <vt:lpwstr>F0C9E55E59144DC7B5BF484D753D8703</vt:lpwstr>
  </property>
</Properties>
</file>