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798" w:type="dxa"/>
        <w:tblInd w:w="0" w:type="dxa"/>
        <w:tblLayout w:type="fixed"/>
        <w:tblCellMar>
          <w:top w:w="15" w:type="dxa"/>
          <w:left w:w="15" w:type="dxa"/>
          <w:bottom w:w="15" w:type="dxa"/>
          <w:right w:w="15" w:type="dxa"/>
        </w:tblCellMar>
      </w:tblPr>
      <w:tblGrid>
        <w:gridCol w:w="416"/>
        <w:gridCol w:w="1318"/>
        <w:gridCol w:w="371"/>
        <w:gridCol w:w="645"/>
        <w:gridCol w:w="908"/>
        <w:gridCol w:w="1497"/>
        <w:gridCol w:w="798"/>
        <w:gridCol w:w="799"/>
        <w:gridCol w:w="671"/>
        <w:gridCol w:w="1200"/>
        <w:gridCol w:w="1050"/>
        <w:gridCol w:w="720"/>
        <w:gridCol w:w="705"/>
        <w:gridCol w:w="2700"/>
      </w:tblGrid>
      <w:tr>
        <w:tblPrEx>
          <w:tblLayout w:type="fixed"/>
          <w:tblCellMar>
            <w:top w:w="15" w:type="dxa"/>
            <w:left w:w="15" w:type="dxa"/>
            <w:bottom w:w="15" w:type="dxa"/>
            <w:right w:w="15" w:type="dxa"/>
          </w:tblCellMar>
        </w:tblPrEx>
        <w:trPr>
          <w:trHeight w:val="1035" w:hRule="atLeast"/>
        </w:trPr>
        <w:tc>
          <w:tcPr>
            <w:tcW w:w="13798" w:type="dxa"/>
            <w:gridSpan w:val="14"/>
            <w:vAlign w:val="center"/>
          </w:tcPr>
          <w:p>
            <w:pPr>
              <w:widowControl/>
              <w:jc w:val="center"/>
              <w:textAlignment w:val="center"/>
              <w:rPr>
                <w:rFonts w:hint="eastAsia" w:ascii="宋体" w:hAnsi="宋体" w:cs="宋体"/>
                <w:b/>
                <w:kern w:val="0"/>
                <w:sz w:val="40"/>
                <w:szCs w:val="40"/>
                <w:lang w:bidi="ar"/>
              </w:rPr>
            </w:pPr>
            <w:r>
              <w:rPr>
                <w:rFonts w:hint="eastAsia" w:ascii="宋体" w:hAnsi="宋体" w:cs="宋体"/>
                <w:b/>
                <w:kern w:val="0"/>
                <w:sz w:val="40"/>
                <w:szCs w:val="40"/>
                <w:lang w:bidi="ar"/>
              </w:rPr>
              <w:t>贵州省水利厅行政检查事项办事指南</w:t>
            </w:r>
          </w:p>
        </w:tc>
      </w:tr>
      <w:tr>
        <w:tblPrEx>
          <w:tblLayout w:type="fixed"/>
          <w:tblCellMar>
            <w:top w:w="15" w:type="dxa"/>
            <w:left w:w="15" w:type="dxa"/>
            <w:bottom w:w="15" w:type="dxa"/>
            <w:right w:w="15" w:type="dxa"/>
          </w:tblCellMar>
        </w:tblPrEx>
        <w:trPr>
          <w:trHeight w:val="405" w:hRule="atLeast"/>
        </w:trPr>
        <w:tc>
          <w:tcPr>
            <w:tcW w:w="13798"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 w:val="32"/>
                <w:szCs w:val="32"/>
              </w:rPr>
            </w:pPr>
            <w:r>
              <w:rPr>
                <w:rFonts w:hint="eastAsia" w:ascii="黑体" w:hAnsi="宋体" w:eastAsia="黑体" w:cs="黑体"/>
                <w:kern w:val="0"/>
                <w:sz w:val="32"/>
                <w:szCs w:val="32"/>
                <w:lang w:bidi="ar"/>
              </w:rPr>
              <w:t>基本信息</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事项名称</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河道管理范围内建设项目及采砂活动监督检查</w:t>
            </w:r>
          </w:p>
        </w:tc>
      </w:tr>
      <w:tr>
        <w:tblPrEx>
          <w:tblLayout w:type="fixed"/>
          <w:tblCellMar>
            <w:top w:w="15" w:type="dxa"/>
            <w:left w:w="15" w:type="dxa"/>
            <w:bottom w:w="15" w:type="dxa"/>
            <w:right w:w="15" w:type="dxa"/>
          </w:tblCellMar>
        </w:tblPrEx>
        <w:trPr>
          <w:trHeight w:val="510" w:hRule="atLeast"/>
        </w:trPr>
        <w:tc>
          <w:tcPr>
            <w:tcW w:w="1734"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权力来源</w:t>
            </w:r>
          </w:p>
        </w:tc>
        <w:tc>
          <w:tcPr>
            <w:tcW w:w="7939" w:type="dxa"/>
            <w:gridSpan w:val="9"/>
            <w:tcBorders>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 xml:space="preserve">法定本级行使 </w:t>
            </w:r>
          </w:p>
        </w:tc>
        <w:tc>
          <w:tcPr>
            <w:tcW w:w="1425"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事项类型</w:t>
            </w:r>
          </w:p>
        </w:tc>
        <w:tc>
          <w:tcPr>
            <w:tcW w:w="2700" w:type="dxa"/>
            <w:tcBorders>
              <w:left w:val="single" w:color="000000" w:sz="4" w:space="0"/>
              <w:bottom w:val="single" w:color="000000" w:sz="4" w:space="0"/>
              <w:right w:val="single" w:color="000000" w:sz="4" w:space="0"/>
            </w:tcBorders>
            <w:vAlign w:val="center"/>
          </w:tcPr>
          <w:p>
            <w:pPr>
              <w:ind w:firstLine="440" w:firstLineChars="200"/>
              <w:jc w:val="left"/>
              <w:rPr>
                <w:rFonts w:hint="eastAsia" w:ascii="宋体" w:hAnsi="宋体" w:cs="宋体"/>
                <w:sz w:val="22"/>
                <w:szCs w:val="22"/>
              </w:rPr>
            </w:pPr>
            <w:r>
              <w:rPr>
                <w:rFonts w:hint="eastAsia" w:ascii="宋体" w:hAnsi="宋体" w:cs="宋体"/>
                <w:sz w:val="22"/>
                <w:szCs w:val="22"/>
              </w:rPr>
              <w:t>行政检查</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权力部门</w:t>
            </w:r>
          </w:p>
        </w:tc>
        <w:tc>
          <w:tcPr>
            <w:tcW w:w="7939" w:type="dxa"/>
            <w:gridSpan w:val="9"/>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贵州省水利厅</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办理对象</w:t>
            </w:r>
          </w:p>
        </w:tc>
        <w:tc>
          <w:tcPr>
            <w:tcW w:w="270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sz w:val="22"/>
                <w:szCs w:val="22"/>
              </w:rPr>
            </w:pPr>
            <w:r>
              <w:rPr>
                <w:rFonts w:hint="eastAsia" w:ascii="宋体" w:hAnsi="宋体" w:cs="宋体"/>
                <w:sz w:val="22"/>
                <w:szCs w:val="22"/>
              </w:rPr>
              <w:t>个人，法人，其他组织</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法定时限</w:t>
            </w:r>
          </w:p>
        </w:tc>
        <w:tc>
          <w:tcPr>
            <w:tcW w:w="421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szCs w:val="22"/>
              </w:rPr>
            </w:pPr>
            <w:r>
              <w:rPr>
                <w:rFonts w:hint="eastAsia" w:ascii="宋体" w:hAnsi="宋体" w:cs="宋体"/>
                <w:sz w:val="22"/>
                <w:szCs w:val="22"/>
              </w:rPr>
              <w:t>无相关规定</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承诺时限</w:t>
            </w:r>
          </w:p>
        </w:tc>
        <w:tc>
          <w:tcPr>
            <w:tcW w:w="637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szCs w:val="22"/>
              </w:rPr>
            </w:pPr>
            <w:r>
              <w:rPr>
                <w:rFonts w:hint="eastAsia" w:ascii="宋体" w:hAnsi="宋体" w:cs="宋体"/>
                <w:sz w:val="22"/>
                <w:szCs w:val="22"/>
              </w:rPr>
              <w:t>无相关规定</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办理窗口</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ind w:firstLine="440" w:firstLineChars="200"/>
              <w:jc w:val="left"/>
              <w:rPr>
                <w:rFonts w:hint="eastAsia" w:ascii="宋体" w:hAnsi="宋体" w:cs="宋体"/>
                <w:sz w:val="22"/>
                <w:szCs w:val="22"/>
              </w:rPr>
            </w:pPr>
            <w:r>
              <w:rPr>
                <w:rFonts w:hint="eastAsia" w:ascii="宋体" w:hAnsi="宋体" w:cs="宋体"/>
                <w:sz w:val="22"/>
                <w:szCs w:val="22"/>
              </w:rPr>
              <w:t>贵州省水利工程管理局（贵州省贵阳市西湖路西湖巷34号)</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办理时间</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星期一至星期五:上午09:00-12:00，下午14:30-17:00。</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网上办理</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该事项不通过网上办理</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办理条件</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河道管理范围内</w:t>
            </w:r>
            <w:r>
              <w:rPr>
                <w:rFonts w:hint="eastAsia" w:ascii="宋体" w:hAnsi="宋体" w:cs="宋体"/>
                <w:kern w:val="0"/>
                <w:sz w:val="22"/>
                <w:szCs w:val="22"/>
                <w:lang w:eastAsia="zh-CN" w:bidi="ar"/>
              </w:rPr>
              <w:t>的</w:t>
            </w:r>
            <w:r>
              <w:rPr>
                <w:rFonts w:hint="eastAsia" w:ascii="宋体" w:hAnsi="宋体" w:cs="宋体"/>
                <w:kern w:val="0"/>
                <w:sz w:val="22"/>
                <w:szCs w:val="22"/>
                <w:lang w:bidi="ar"/>
              </w:rPr>
              <w:t>建设项目及采砂活动</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办理种类或方式</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根据检查结果，督促整改落实</w:t>
            </w:r>
          </w:p>
        </w:tc>
      </w:tr>
      <w:tr>
        <w:tblPrEx>
          <w:tblLayout w:type="fixed"/>
          <w:tblCellMar>
            <w:top w:w="15" w:type="dxa"/>
            <w:left w:w="15" w:type="dxa"/>
            <w:bottom w:w="15" w:type="dxa"/>
            <w:right w:w="15" w:type="dxa"/>
          </w:tblCellMar>
        </w:tblPrEx>
        <w:trPr>
          <w:trHeight w:val="477" w:hRule="atLeast"/>
        </w:trPr>
        <w:tc>
          <w:tcPr>
            <w:tcW w:w="1734"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收费</w:t>
            </w:r>
          </w:p>
        </w:tc>
        <w:tc>
          <w:tcPr>
            <w:tcW w:w="1924" w:type="dxa"/>
            <w:gridSpan w:val="3"/>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 xml:space="preserve">是否收费 </w:t>
            </w:r>
          </w:p>
        </w:tc>
        <w:tc>
          <w:tcPr>
            <w:tcW w:w="4965" w:type="dxa"/>
            <w:gridSpan w:val="5"/>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不收费</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2"/>
                <w:szCs w:val="22"/>
                <w:lang w:bidi="ar"/>
              </w:rPr>
            </w:pPr>
            <w:r>
              <w:rPr>
                <w:rFonts w:hint="eastAsia" w:ascii="宋体" w:hAnsi="宋体" w:cs="宋体"/>
                <w:b/>
                <w:bCs/>
                <w:kern w:val="0"/>
                <w:sz w:val="22"/>
                <w:szCs w:val="22"/>
                <w:lang w:bidi="ar"/>
              </w:rPr>
              <w:t>收费标准</w:t>
            </w:r>
          </w:p>
        </w:tc>
        <w:tc>
          <w:tcPr>
            <w:tcW w:w="3405" w:type="dxa"/>
            <w:gridSpan w:val="2"/>
            <w:tcBorders>
              <w:top w:val="single" w:color="auto" w:sz="4" w:space="0"/>
              <w:left w:val="single" w:color="auto" w:sz="4" w:space="0"/>
              <w:bottom w:val="single" w:color="auto" w:sz="4" w:space="0"/>
              <w:right w:val="single" w:color="000000" w:sz="4" w:space="0"/>
            </w:tcBorders>
            <w:vAlign w:val="center"/>
          </w:tcPr>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无</w:t>
            </w:r>
          </w:p>
        </w:tc>
      </w:tr>
      <w:tr>
        <w:tblPrEx>
          <w:tblLayout w:type="fixed"/>
          <w:tblCellMar>
            <w:top w:w="15" w:type="dxa"/>
            <w:left w:w="15" w:type="dxa"/>
            <w:bottom w:w="15" w:type="dxa"/>
            <w:right w:w="15" w:type="dxa"/>
          </w:tblCellMar>
        </w:tblPrEx>
        <w:trPr>
          <w:trHeight w:val="345" w:hRule="atLeast"/>
        </w:trPr>
        <w:tc>
          <w:tcPr>
            <w:tcW w:w="1734"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kern w:val="0"/>
                <w:sz w:val="22"/>
                <w:szCs w:val="22"/>
                <w:lang w:bidi="ar"/>
              </w:rPr>
            </w:pPr>
          </w:p>
        </w:tc>
        <w:tc>
          <w:tcPr>
            <w:tcW w:w="1924" w:type="dxa"/>
            <w:gridSpan w:val="3"/>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收费依据及描述</w:t>
            </w:r>
          </w:p>
        </w:tc>
        <w:tc>
          <w:tcPr>
            <w:tcW w:w="10140" w:type="dxa"/>
            <w:gridSpan w:val="9"/>
            <w:tcBorders>
              <w:top w:val="single" w:color="auto" w:sz="4" w:space="0"/>
              <w:left w:val="single" w:color="auto"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不涉及收费</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办理公示</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ind w:firstLine="440" w:firstLineChars="200"/>
              <w:jc w:val="left"/>
              <w:rPr>
                <w:rFonts w:hint="eastAsia" w:ascii="宋体" w:hAnsi="宋体" w:cs="宋体"/>
                <w:sz w:val="22"/>
                <w:szCs w:val="22"/>
              </w:rPr>
            </w:pPr>
            <w:r>
              <w:rPr>
                <w:rFonts w:hint="eastAsia" w:ascii="宋体" w:hAnsi="宋体" w:cs="宋体"/>
                <w:sz w:val="22"/>
                <w:szCs w:val="22"/>
              </w:rPr>
              <w:t>需公示，在贵州省水利厅网站公示。</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办理查询</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可通过贵州省水利工程管理局（电话：</w:t>
            </w:r>
            <w:r>
              <w:rPr>
                <w:rFonts w:hint="eastAsia" w:ascii="宋体" w:hAnsi="宋体" w:cs="宋体"/>
                <w:sz w:val="22"/>
                <w:szCs w:val="22"/>
              </w:rPr>
              <w:t>0851-85935412</w:t>
            </w:r>
            <w:r>
              <w:rPr>
                <w:rFonts w:hint="eastAsia" w:ascii="宋体" w:hAnsi="宋体" w:cs="宋体"/>
                <w:kern w:val="0"/>
                <w:sz w:val="22"/>
                <w:szCs w:val="22"/>
                <w:lang w:bidi="ar"/>
              </w:rPr>
              <w:t xml:space="preserve">）查询。 </w:t>
            </w:r>
          </w:p>
        </w:tc>
      </w:tr>
      <w:tr>
        <w:tblPrEx>
          <w:tblLayout w:type="fixed"/>
          <w:tblCellMar>
            <w:top w:w="15" w:type="dxa"/>
            <w:left w:w="15" w:type="dxa"/>
            <w:bottom w:w="15" w:type="dxa"/>
            <w:right w:w="15" w:type="dxa"/>
          </w:tblCellMar>
        </w:tblPrEx>
        <w:trPr>
          <w:trHeight w:val="510" w:hRule="atLeast"/>
        </w:trPr>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咨 询</w:t>
            </w:r>
          </w:p>
        </w:tc>
        <w:tc>
          <w:tcPr>
            <w:tcW w:w="12064" w:type="dxa"/>
            <w:gridSpan w:val="12"/>
            <w:tcBorders>
              <w:top w:val="single" w:color="000000" w:sz="4" w:space="0"/>
              <w:left w:val="single" w:color="000000" w:sz="4" w:space="0"/>
              <w:bottom w:val="single" w:color="000000" w:sz="4" w:space="0"/>
              <w:right w:val="single" w:color="000000" w:sz="4" w:space="0"/>
            </w:tcBorders>
            <w:vAlign w:val="center"/>
          </w:tcPr>
          <w:p>
            <w:pPr>
              <w:ind w:firstLine="440" w:firstLineChars="200"/>
              <w:jc w:val="left"/>
              <w:rPr>
                <w:rFonts w:hint="eastAsia" w:ascii="宋体" w:hAnsi="宋体" w:cs="宋体"/>
                <w:sz w:val="22"/>
                <w:szCs w:val="22"/>
              </w:rPr>
            </w:pPr>
            <w:r>
              <w:rPr>
                <w:rFonts w:hint="eastAsia" w:ascii="宋体" w:hAnsi="宋体" w:cs="宋体"/>
                <w:sz w:val="22"/>
                <w:szCs w:val="22"/>
              </w:rPr>
              <w:t>可通过贵州省水利工程管理局</w:t>
            </w:r>
            <w:r>
              <w:rPr>
                <w:rFonts w:hint="eastAsia" w:ascii="宋体" w:hAnsi="宋体" w:cs="宋体"/>
                <w:kern w:val="0"/>
                <w:sz w:val="22"/>
                <w:szCs w:val="22"/>
                <w:lang w:bidi="ar"/>
              </w:rPr>
              <w:t>（电话：</w:t>
            </w:r>
            <w:r>
              <w:rPr>
                <w:rFonts w:hint="eastAsia" w:ascii="宋体" w:hAnsi="宋体" w:cs="宋体"/>
                <w:sz w:val="22"/>
                <w:szCs w:val="22"/>
              </w:rPr>
              <w:t>0851-85935412</w:t>
            </w:r>
            <w:r>
              <w:rPr>
                <w:rFonts w:hint="eastAsia" w:ascii="宋体" w:hAnsi="宋体" w:cs="宋体"/>
                <w:kern w:val="0"/>
                <w:sz w:val="22"/>
                <w:szCs w:val="22"/>
                <w:lang w:bidi="ar"/>
              </w:rPr>
              <w:t>）</w:t>
            </w:r>
            <w:r>
              <w:rPr>
                <w:rFonts w:hint="eastAsia" w:ascii="宋体" w:hAnsi="宋体" w:cs="宋体"/>
                <w:sz w:val="22"/>
                <w:szCs w:val="22"/>
              </w:rPr>
              <w:t>咨询。</w:t>
            </w:r>
          </w:p>
        </w:tc>
      </w:tr>
      <w:tr>
        <w:tblPrEx>
          <w:tblLayout w:type="fixed"/>
          <w:tblCellMar>
            <w:top w:w="15" w:type="dxa"/>
            <w:left w:w="15" w:type="dxa"/>
            <w:bottom w:w="15" w:type="dxa"/>
            <w:right w:w="15" w:type="dxa"/>
          </w:tblCellMar>
        </w:tblPrEx>
        <w:trPr>
          <w:trHeight w:val="750" w:hRule="atLeast"/>
        </w:trPr>
        <w:tc>
          <w:tcPr>
            <w:tcW w:w="1734"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sz w:val="22"/>
                <w:szCs w:val="22"/>
              </w:rPr>
            </w:pPr>
            <w:r>
              <w:rPr>
                <w:rFonts w:hint="eastAsia" w:ascii="宋体" w:hAnsi="宋体" w:cs="宋体"/>
                <w:b/>
                <w:bCs/>
                <w:kern w:val="0"/>
                <w:sz w:val="22"/>
                <w:szCs w:val="22"/>
                <w:lang w:bidi="ar"/>
              </w:rPr>
              <w:t>监督投诉</w:t>
            </w:r>
          </w:p>
        </w:tc>
        <w:tc>
          <w:tcPr>
            <w:tcW w:w="12064" w:type="dxa"/>
            <w:gridSpan w:val="12"/>
            <w:tcBorders>
              <w:top w:val="single" w:color="000000" w:sz="4" w:space="0"/>
              <w:left w:val="single" w:color="000000" w:sz="4" w:space="0"/>
              <w:bottom w:val="single" w:color="auto" w:sz="4" w:space="0"/>
              <w:right w:val="single" w:color="000000" w:sz="4" w:space="0"/>
            </w:tcBorders>
            <w:vAlign w:val="center"/>
          </w:tcPr>
          <w:p>
            <w:pPr>
              <w:widowControl/>
              <w:ind w:firstLine="440" w:firstLineChars="200"/>
              <w:jc w:val="left"/>
              <w:textAlignment w:val="center"/>
              <w:rPr>
                <w:rFonts w:hint="eastAsia" w:ascii="宋体" w:hAnsi="宋体" w:cs="宋体"/>
                <w:sz w:val="22"/>
                <w:szCs w:val="22"/>
              </w:rPr>
            </w:pPr>
            <w:r>
              <w:rPr>
                <w:rFonts w:hint="eastAsia" w:ascii="宋体" w:hAnsi="宋体" w:cs="宋体"/>
                <w:kern w:val="0"/>
                <w:sz w:val="22"/>
                <w:szCs w:val="22"/>
                <w:lang w:bidi="ar"/>
              </w:rPr>
              <w:t>可通过贵州省水利厅监察室（电话：</w:t>
            </w:r>
            <w:r>
              <w:rPr>
                <w:rFonts w:hint="eastAsia" w:ascii="宋体" w:hAnsi="宋体" w:cs="宋体"/>
                <w:sz w:val="22"/>
                <w:szCs w:val="22"/>
              </w:rPr>
              <w:t>0851-85636266</w:t>
            </w:r>
            <w:r>
              <w:rPr>
                <w:rFonts w:hint="eastAsia" w:ascii="宋体" w:hAnsi="宋体" w:cs="宋体"/>
                <w:kern w:val="0"/>
                <w:sz w:val="22"/>
                <w:szCs w:val="22"/>
                <w:lang w:bidi="ar"/>
              </w:rPr>
              <w:t xml:space="preserve">）投诉。 </w:t>
            </w:r>
          </w:p>
        </w:tc>
      </w:tr>
      <w:tr>
        <w:tblPrEx>
          <w:tblLayout w:type="fixed"/>
          <w:tblCellMar>
            <w:top w:w="15" w:type="dxa"/>
            <w:left w:w="15" w:type="dxa"/>
            <w:bottom w:w="15" w:type="dxa"/>
            <w:right w:w="15" w:type="dxa"/>
          </w:tblCellMar>
        </w:tblPrEx>
        <w:trPr>
          <w:trHeight w:val="892" w:hRule="atLeast"/>
        </w:trPr>
        <w:tc>
          <w:tcPr>
            <w:tcW w:w="1734"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行政复议</w:t>
            </w:r>
          </w:p>
          <w:p>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行政诉讼</w:t>
            </w:r>
          </w:p>
        </w:tc>
        <w:tc>
          <w:tcPr>
            <w:tcW w:w="12064" w:type="dxa"/>
            <w:gridSpan w:val="12"/>
            <w:tcBorders>
              <w:top w:val="single" w:color="auto"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无。</w:t>
            </w:r>
          </w:p>
        </w:tc>
      </w:tr>
      <w:tr>
        <w:tblPrEx>
          <w:tblLayout w:type="fixed"/>
          <w:tblCellMar>
            <w:top w:w="15" w:type="dxa"/>
            <w:left w:w="15" w:type="dxa"/>
            <w:bottom w:w="15" w:type="dxa"/>
            <w:right w:w="15" w:type="dxa"/>
          </w:tblCellMar>
        </w:tblPrEx>
        <w:trPr>
          <w:trHeight w:val="555" w:hRule="atLeast"/>
        </w:trPr>
        <w:tc>
          <w:tcPr>
            <w:tcW w:w="13798" w:type="dxa"/>
            <w:gridSpan w:val="14"/>
            <w:tcBorders>
              <w:right w:val="single" w:color="000000" w:sz="4" w:space="0"/>
            </w:tcBorders>
            <w:vAlign w:val="center"/>
          </w:tcPr>
          <w:p>
            <w:pPr>
              <w:widowControl/>
              <w:jc w:val="center"/>
              <w:textAlignment w:val="center"/>
              <w:rPr>
                <w:rFonts w:hint="eastAsia" w:ascii="黑体" w:hAnsi="宋体" w:eastAsia="黑体" w:cs="黑体"/>
                <w:sz w:val="32"/>
                <w:szCs w:val="32"/>
              </w:rPr>
            </w:pPr>
            <w:r>
              <w:rPr>
                <w:rFonts w:hint="eastAsia" w:ascii="黑体" w:hAnsi="宋体" w:eastAsia="黑体" w:cs="黑体"/>
                <w:kern w:val="0"/>
                <w:sz w:val="32"/>
                <w:szCs w:val="32"/>
                <w:lang w:bidi="ar"/>
              </w:rPr>
              <w:t>设定依据</w:t>
            </w:r>
          </w:p>
        </w:tc>
      </w:tr>
      <w:tr>
        <w:tblPrEx>
          <w:tblLayout w:type="fixed"/>
          <w:tblCellMar>
            <w:top w:w="15" w:type="dxa"/>
            <w:left w:w="15" w:type="dxa"/>
            <w:bottom w:w="15" w:type="dxa"/>
            <w:right w:w="15" w:type="dxa"/>
          </w:tblCellMar>
        </w:tblPrEx>
        <w:trPr>
          <w:trHeight w:val="795" w:hRule="atLeast"/>
        </w:trPr>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法定依据</w:t>
            </w:r>
          </w:p>
        </w:tc>
        <w:tc>
          <w:tcPr>
            <w:tcW w:w="11693"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sz w:val="22"/>
                <w:szCs w:val="22"/>
              </w:rPr>
            </w:pPr>
            <w:r>
              <w:rPr>
                <w:rFonts w:hint="eastAsia" w:ascii="宋体" w:hAnsi="宋体" w:cs="宋体"/>
                <w:color w:val="535353"/>
                <w:sz w:val="22"/>
                <w:szCs w:val="22"/>
                <w:shd w:val="clear" w:color="auto" w:fill="FFFFFF"/>
              </w:rPr>
              <w:t xml:space="preserve">     《贵州省河道管理条例(2004年)》</w:t>
            </w:r>
            <w:r>
              <w:rPr>
                <w:rFonts w:hint="eastAsia" w:ascii="宋体" w:hAnsi="宋体" w:cs="宋体"/>
                <w:color w:val="535353"/>
                <w:sz w:val="24"/>
                <w:szCs w:val="24"/>
                <w:shd w:val="clear" w:color="auto" w:fill="FFFFFF"/>
              </w:rPr>
              <w:t> </w:t>
            </w:r>
          </w:p>
        </w:tc>
      </w:tr>
      <w:tr>
        <w:tblPrEx>
          <w:tblLayout w:type="fixed"/>
          <w:tblCellMar>
            <w:top w:w="15" w:type="dxa"/>
            <w:left w:w="15" w:type="dxa"/>
            <w:bottom w:w="15" w:type="dxa"/>
            <w:right w:w="15" w:type="dxa"/>
          </w:tblCellMar>
        </w:tblPrEx>
        <w:trPr>
          <w:trHeight w:val="795" w:hRule="atLeast"/>
        </w:trPr>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 w:val="22"/>
                <w:szCs w:val="22"/>
              </w:rPr>
            </w:pP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依据描述</w:t>
            </w:r>
          </w:p>
        </w:tc>
        <w:tc>
          <w:tcPr>
            <w:tcW w:w="11693"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第十一条　修建开发水利、防治水害、整治河道的各类工程和跨河、穿河、穿堤、临河的桥梁、码头、道路、渡口、管道、缆线等建筑物及设施，建设单位编制立项文件时，必须按河道管理权限将工程建设方案报送水行政主管部门审查同意后，方可按基本建设程序履行审批手续。</w:t>
            </w:r>
          </w:p>
          <w:p>
            <w:pPr>
              <w:widowControl/>
              <w:ind w:firstLine="660" w:firstLineChars="3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建设项目安排施工时，应当按照批准的设计或者规划划定的位置和界限进行。施工期间水行政主管部门应当对其是否符合河道整治规划进行检查。</w:t>
            </w:r>
          </w:p>
          <w:p>
            <w:pPr>
              <w:widowControl/>
              <w:ind w:firstLine="660" w:firstLineChars="3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建设项目竣工验收应有水行政主管部门参加，建设单位应在验收前30日将有关文件资料报送水行政主管部门。</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第十六条　在河道管理范围内进行下列活动，必须报经水行政主管部门批准：</w:t>
            </w:r>
          </w:p>
          <w:p>
            <w:pPr>
              <w:widowControl/>
              <w:ind w:firstLine="660" w:firstLineChars="3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(一)采砂、采矿、采石、取土、淘金；</w:t>
            </w:r>
          </w:p>
          <w:p>
            <w:pPr>
              <w:widowControl/>
              <w:ind w:firstLine="660" w:firstLineChars="3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(二)爆破、钻探、垦荒、挖筑鱼塘、修路、开渠、打井；</w:t>
            </w:r>
          </w:p>
          <w:p>
            <w:pPr>
              <w:widowControl/>
              <w:ind w:firstLine="660" w:firstLineChars="3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(三)在河道滩地存放木材等物料、修建厂房或者其他建筑物、构筑物以及开采地下资源、进行考古发掘、开展集市贸易活动；</w:t>
            </w:r>
          </w:p>
          <w:p>
            <w:pPr>
              <w:widowControl/>
              <w:ind w:firstLine="660" w:firstLineChars="3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(四)整治河道、修建水工程建筑物或其他设施、围垦河道；</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第二十条　河道管理范围内下列阻水障碍物或者工程设施，按照“谁设障、谁清除”的原则，由水行政主管部门提出清障计划和实施方案并规定清除期限：</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(一)严重壅水、阻水危及安全泄洪的桥梁、引道、码头、栈桥、泵房、渡口和其他跨河工程设施；</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(二)围堤、围墙、房屋；</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(三)阻水道路、阻水渠道；</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(四)弃置的矿渣、砂石、煤渣、泥土、垃圾等；</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(五)堆放的影响行洪的物料及设置的拦河渔具；</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(六)行洪通道内的高秆植物；</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(七)其它影响河道安全泄洪和河势稳定的障碍物。</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第二十一条　违反本条例第十六条规定的，县级以上水行政主管部门或会同其他有关部门，责令停止违法行为，没收违法所得，可以并处5000元以下罚款。</w:t>
            </w:r>
          </w:p>
          <w:p>
            <w:pPr>
              <w:widowControl/>
              <w:ind w:firstLine="440" w:firstLineChars="200"/>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第二十三条　违反本条例第二十条规定，逾期不清除的，由当地人民政府组织强行清除，清障费用由设障者承担。</w:t>
            </w:r>
          </w:p>
        </w:tc>
      </w:tr>
      <w:tr>
        <w:tblPrEx>
          <w:tblLayout w:type="fixed"/>
          <w:tblCellMar>
            <w:top w:w="15" w:type="dxa"/>
            <w:left w:w="15" w:type="dxa"/>
            <w:bottom w:w="15" w:type="dxa"/>
            <w:right w:w="15" w:type="dxa"/>
          </w:tblCellMar>
        </w:tblPrEx>
        <w:trPr>
          <w:trHeight w:val="405" w:hRule="atLeast"/>
        </w:trPr>
        <w:tc>
          <w:tcPr>
            <w:tcW w:w="13798" w:type="dxa"/>
            <w:gridSpan w:val="14"/>
            <w:vAlign w:val="center"/>
          </w:tcPr>
          <w:p>
            <w:pPr>
              <w:widowControl/>
              <w:textAlignment w:val="center"/>
              <w:rPr>
                <w:rFonts w:hint="eastAsia" w:ascii="黑体" w:hAnsi="宋体" w:eastAsia="黑体" w:cs="黑体"/>
                <w:kern w:val="0"/>
                <w:sz w:val="32"/>
                <w:szCs w:val="32"/>
                <w:lang w:bidi="ar"/>
              </w:rPr>
            </w:pPr>
          </w:p>
          <w:p>
            <w:pPr>
              <w:widowControl/>
              <w:jc w:val="center"/>
              <w:textAlignment w:val="center"/>
              <w:rPr>
                <w:rFonts w:hint="eastAsia" w:ascii="黑体" w:hAnsi="宋体" w:eastAsia="黑体" w:cs="黑体"/>
                <w:sz w:val="32"/>
                <w:szCs w:val="32"/>
              </w:rPr>
            </w:pPr>
            <w:r>
              <w:rPr>
                <w:rFonts w:hint="eastAsia" w:ascii="黑体" w:hAnsi="宋体" w:eastAsia="黑体" w:cs="黑体"/>
                <w:kern w:val="0"/>
                <w:sz w:val="32"/>
                <w:szCs w:val="32"/>
                <w:lang w:bidi="ar"/>
              </w:rPr>
              <w:t>办理材料</w:t>
            </w:r>
          </w:p>
        </w:tc>
      </w:tr>
      <w:tr>
        <w:tblPrEx>
          <w:tblLayout w:type="fixed"/>
          <w:tblCellMar>
            <w:top w:w="15" w:type="dxa"/>
            <w:left w:w="15" w:type="dxa"/>
            <w:bottom w:w="15" w:type="dxa"/>
            <w:right w:w="15" w:type="dxa"/>
          </w:tblCellMar>
        </w:tblPrEx>
        <w:trPr>
          <w:trHeight w:val="599"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23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材料名称</w:t>
            </w:r>
          </w:p>
        </w:tc>
        <w:tc>
          <w:tcPr>
            <w:tcW w:w="2405"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材料要求</w:t>
            </w:r>
          </w:p>
        </w:tc>
        <w:tc>
          <w:tcPr>
            <w:tcW w:w="159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b/>
                <w:bCs/>
                <w:kern w:val="0"/>
                <w:sz w:val="22"/>
                <w:szCs w:val="22"/>
                <w:lang w:bidi="ar"/>
              </w:rPr>
            </w:pPr>
            <w:r>
              <w:rPr>
                <w:rFonts w:hint="eastAsia" w:ascii="宋体" w:hAnsi="宋体" w:cs="宋体"/>
                <w:b/>
                <w:bCs/>
                <w:kern w:val="0"/>
                <w:sz w:val="22"/>
                <w:szCs w:val="22"/>
                <w:lang w:bidi="ar"/>
              </w:rPr>
              <w:t>材料来源</w:t>
            </w:r>
          </w:p>
        </w:tc>
        <w:tc>
          <w:tcPr>
            <w:tcW w:w="704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法定依据及描述</w:t>
            </w:r>
          </w:p>
        </w:tc>
      </w:tr>
      <w:tr>
        <w:tblPrEx>
          <w:tblLayout w:type="fixed"/>
          <w:tblCellMar>
            <w:top w:w="15" w:type="dxa"/>
            <w:left w:w="15" w:type="dxa"/>
            <w:bottom w:w="15" w:type="dxa"/>
            <w:right w:w="15" w:type="dxa"/>
          </w:tblCellMar>
        </w:tblPrEx>
        <w:trPr>
          <w:trHeight w:val="870" w:hRule="atLeast"/>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3382"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40" w:firstLineChars="200"/>
              <w:jc w:val="left"/>
              <w:textAlignment w:val="center"/>
              <w:rPr>
                <w:rFonts w:hint="eastAsia" w:ascii="宋体" w:hAnsi="宋体" w:cs="宋体"/>
                <w:sz w:val="22"/>
                <w:szCs w:val="22"/>
              </w:rPr>
            </w:pPr>
            <w:r>
              <w:rPr>
                <w:rFonts w:hint="eastAsia" w:ascii="宋体" w:hAnsi="宋体" w:cs="宋体"/>
                <w:sz w:val="22"/>
                <w:szCs w:val="22"/>
              </w:rPr>
              <w:t>本事项不需要提交办理材料</w:t>
            </w:r>
          </w:p>
        </w:tc>
      </w:tr>
      <w:tr>
        <w:tblPrEx>
          <w:tblLayout w:type="fixed"/>
          <w:tblCellMar>
            <w:top w:w="15" w:type="dxa"/>
            <w:left w:w="15" w:type="dxa"/>
            <w:bottom w:w="15" w:type="dxa"/>
            <w:right w:w="15" w:type="dxa"/>
          </w:tblCellMar>
        </w:tblPrEx>
        <w:trPr>
          <w:trHeight w:val="405" w:hRule="atLeast"/>
        </w:trPr>
        <w:tc>
          <w:tcPr>
            <w:tcW w:w="13798" w:type="dxa"/>
            <w:gridSpan w:val="14"/>
            <w:vAlign w:val="center"/>
          </w:tcPr>
          <w:p>
            <w:pPr>
              <w:widowControl/>
              <w:jc w:val="center"/>
              <w:textAlignment w:val="center"/>
              <w:rPr>
                <w:rFonts w:hint="eastAsia" w:ascii="黑体" w:hAnsi="宋体" w:eastAsia="黑体" w:cs="黑体"/>
                <w:kern w:val="0"/>
                <w:sz w:val="32"/>
                <w:szCs w:val="32"/>
                <w:lang w:bidi="ar"/>
              </w:rPr>
            </w:pPr>
          </w:p>
          <w:p>
            <w:pPr>
              <w:widowControl/>
              <w:textAlignment w:val="center"/>
              <w:rPr>
                <w:rFonts w:hint="eastAsia" w:ascii="黑体" w:hAnsi="宋体" w:eastAsia="黑体" w:cs="黑体"/>
                <w:kern w:val="0"/>
                <w:sz w:val="32"/>
                <w:szCs w:val="32"/>
                <w:lang w:bidi="ar"/>
              </w:rPr>
            </w:pPr>
          </w:p>
          <w:p>
            <w:pPr>
              <w:widowControl/>
              <w:jc w:val="center"/>
              <w:textAlignment w:val="center"/>
              <w:rPr>
                <w:rFonts w:hint="eastAsia" w:ascii="黑体" w:hAnsi="宋体" w:eastAsia="黑体" w:cs="黑体"/>
                <w:kern w:val="0"/>
                <w:sz w:val="32"/>
                <w:szCs w:val="32"/>
                <w:lang w:bidi="ar"/>
              </w:rPr>
            </w:pPr>
            <w:r>
              <w:rPr>
                <w:rFonts w:hint="eastAsia" w:ascii="黑体" w:hAnsi="宋体" w:eastAsia="黑体" w:cs="黑体"/>
                <w:kern w:val="0"/>
                <w:sz w:val="32"/>
                <w:szCs w:val="32"/>
                <w:lang w:bidi="ar"/>
              </w:rPr>
              <w:t>办理流程</w:t>
            </w:r>
          </w:p>
          <w:p>
            <w:pPr>
              <w:widowControl/>
              <w:textAlignment w:val="center"/>
              <w:rPr>
                <w:rFonts w:hint="eastAsia" w:ascii="黑体" w:hAnsi="宋体" w:eastAsia="黑体" w:cs="黑体"/>
                <w:sz w:val="32"/>
                <w:szCs w:val="32"/>
              </w:rPr>
            </w:pPr>
            <w:r>
              <w:rPr>
                <w:rFonts w:hint="eastAsia" w:ascii="黑体" w:hAnsi="宋体" w:eastAsia="黑体" w:cs="黑体"/>
                <w:sz w:val="32"/>
                <w:szCs w:val="32"/>
              </w:rPr>
              <w:t>办理环节描述：</w:t>
            </w:r>
          </w:p>
          <w:p>
            <w:pPr>
              <w:widowControl/>
              <w:ind w:firstLine="640" w:firstLineChars="200"/>
              <w:textAlignment w:val="center"/>
              <w:rPr>
                <w:rFonts w:hint="eastAsia" w:ascii="仿宋_GB2312" w:hAnsi="宋体" w:eastAsia="仿宋_GB2312" w:cs="黑体"/>
                <w:sz w:val="32"/>
                <w:szCs w:val="32"/>
              </w:rPr>
            </w:pPr>
            <w:r>
              <w:rPr>
                <w:rFonts w:hint="eastAsia" w:ascii="仿宋_GB2312" w:hAnsi="宋体" w:eastAsia="仿宋_GB2312" w:cs="黑体"/>
                <w:sz w:val="32"/>
                <w:szCs w:val="32"/>
              </w:rPr>
              <w:t>1.通过水利厅发文或接到举报、投诉</w:t>
            </w:r>
            <w:r>
              <w:rPr>
                <w:rFonts w:hint="eastAsia" w:ascii="仿宋_GB2312" w:hAnsi="宋体" w:eastAsia="仿宋_GB2312" w:cs="黑体"/>
                <w:sz w:val="32"/>
                <w:szCs w:val="32"/>
                <w:lang w:eastAsia="zh-CN"/>
              </w:rPr>
              <w:t>等</w:t>
            </w:r>
            <w:r>
              <w:rPr>
                <w:rFonts w:hint="eastAsia" w:ascii="仿宋_GB2312" w:hAnsi="宋体" w:eastAsia="仿宋_GB2312" w:cs="黑体"/>
                <w:sz w:val="32"/>
                <w:szCs w:val="32"/>
              </w:rPr>
              <w:t>确定检查对象、检查内容、检查时间。</w:t>
            </w:r>
          </w:p>
          <w:p>
            <w:pPr>
              <w:widowControl/>
              <w:ind w:firstLine="640" w:firstLineChars="200"/>
              <w:textAlignment w:val="center"/>
              <w:rPr>
                <w:rFonts w:hint="eastAsia" w:ascii="仿宋_GB2312" w:hAnsi="宋体" w:eastAsia="仿宋_GB2312" w:cs="黑体"/>
                <w:sz w:val="32"/>
                <w:szCs w:val="32"/>
              </w:rPr>
            </w:pPr>
            <w:r>
              <w:rPr>
                <w:rFonts w:hint="eastAsia" w:ascii="仿宋_GB2312" w:hAnsi="宋体" w:eastAsia="仿宋_GB2312" w:cs="黑体"/>
                <w:sz w:val="32"/>
                <w:szCs w:val="32"/>
              </w:rPr>
              <w:t>2.由水利厅组织2名及以上工作人员成立检查组赴现场进行实地检查，并收集整理相关材料。</w:t>
            </w:r>
          </w:p>
          <w:p>
            <w:pPr>
              <w:widowControl/>
              <w:ind w:firstLine="640" w:firstLineChars="200"/>
              <w:textAlignment w:val="center"/>
              <w:rPr>
                <w:rFonts w:hint="eastAsia" w:ascii="仿宋_GB2312" w:hAnsi="宋体" w:eastAsia="仿宋_GB2312" w:cs="黑体"/>
                <w:sz w:val="32"/>
                <w:szCs w:val="32"/>
              </w:rPr>
            </w:pPr>
            <w:r>
              <w:rPr>
                <w:rFonts w:hint="eastAsia" w:ascii="仿宋_GB2312" w:hAnsi="宋体" w:eastAsia="仿宋_GB2312" w:cs="黑体"/>
                <w:sz w:val="32"/>
                <w:szCs w:val="32"/>
              </w:rPr>
              <w:t>3.检查组检查后针对检查中发现的问题拟定整改落实意见。</w:t>
            </w:r>
          </w:p>
          <w:p>
            <w:pPr>
              <w:widowControl/>
              <w:ind w:firstLine="640" w:firstLineChars="200"/>
              <w:textAlignment w:val="center"/>
              <w:rPr>
                <w:rFonts w:hint="eastAsia" w:ascii="仿宋_GB2312" w:hAnsi="宋体" w:eastAsia="仿宋_GB2312" w:cs="黑体"/>
                <w:sz w:val="32"/>
                <w:szCs w:val="32"/>
              </w:rPr>
            </w:pPr>
            <w:r>
              <w:rPr>
                <w:rFonts w:hint="eastAsia" w:ascii="仿宋_GB2312" w:hAnsi="宋体" w:eastAsia="仿宋_GB2312" w:cs="黑体"/>
                <w:sz w:val="32"/>
                <w:szCs w:val="32"/>
              </w:rPr>
              <w:t>4.将整改落实意见下发至地方水行政主管部门督促相关方进行整改落实。</w:t>
            </w:r>
          </w:p>
          <w:p>
            <w:pPr>
              <w:widowControl/>
              <w:ind w:firstLine="640" w:firstLineChars="200"/>
              <w:textAlignment w:val="center"/>
              <w:rPr>
                <w:rFonts w:hint="eastAsia" w:ascii="仿宋_GB2312" w:hAnsi="宋体" w:eastAsia="仿宋_GB2312" w:cs="黑体"/>
                <w:sz w:val="32"/>
                <w:szCs w:val="32"/>
              </w:rPr>
            </w:pPr>
            <w:r>
              <w:rPr>
                <w:rFonts w:hint="eastAsia" w:ascii="仿宋_GB2312" w:hAnsi="宋体" w:eastAsia="仿宋_GB2312" w:cs="黑体"/>
                <w:sz w:val="32"/>
                <w:szCs w:val="32"/>
              </w:rPr>
              <w:t>5.检查整改落实情况、整理归档。</w:t>
            </w:r>
          </w:p>
          <w:p>
            <w:pPr>
              <w:widowControl/>
              <w:textAlignment w:val="center"/>
              <w:rPr>
                <w:rFonts w:hint="eastAsia" w:ascii="黑体" w:hAnsi="宋体" w:eastAsia="黑体" w:cs="黑体"/>
                <w:sz w:val="32"/>
                <w:szCs w:val="32"/>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ascii="黑体" w:hAnsi="黑体" w:eastAsia="黑体"/>
          <w:sz w:val="32"/>
          <w:szCs w:val="32"/>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办理流程图：</w:t>
      </w:r>
    </w:p>
    <w:p>
      <w:pPr>
        <w:rPr>
          <w:rFonts w:hint="eastAsia" w:ascii="Calibri" w:hAnsi="Calibri"/>
          <w:szCs w:val="22"/>
        </w:rPr>
      </w:pPr>
    </w:p>
    <w:p>
      <w:pPr>
        <w:rPr>
          <w:rFonts w:hint="eastAsia" w:ascii="Calibri" w:hAnsi="Calibri"/>
          <w:szCs w:val="22"/>
        </w:rPr>
      </w:pPr>
    </w:p>
    <w:p>
      <w:pPr>
        <w:rPr>
          <w:rFonts w:hint="eastAsia" w:ascii="Calibri" w:hAnsi="Calibri"/>
          <w:szCs w:val="22"/>
        </w:rPr>
      </w:pPr>
    </w:p>
    <w:p>
      <w:pPr>
        <w:rPr>
          <w:rFonts w:hint="eastAsia" w:ascii="Calibri" w:hAnsi="Calibri"/>
          <w:szCs w:val="22"/>
        </w:rPr>
      </w:pPr>
    </w:p>
    <w:tbl>
      <w:tblPr>
        <w:tblStyle w:val="5"/>
        <w:tblW w:w="3260"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260" w:type="dxa"/>
            <w:shd w:val="clear" w:color="auto" w:fill="auto"/>
            <w:vAlign w:val="top"/>
          </w:tcPr>
          <w:p>
            <w:pPr>
              <w:jc w:val="center"/>
              <w:rPr>
                <w:rFonts w:ascii="Calibri" w:hAnsi="Calibri"/>
                <w:sz w:val="32"/>
                <w:szCs w:val="32"/>
              </w:rPr>
            </w:pPr>
            <w:r>
              <w:rPr>
                <w:rFonts w:hint="eastAsia" w:ascii="Calibri" w:hAnsi="Calibri"/>
                <w:sz w:val="32"/>
                <w:szCs w:val="32"/>
              </w:rPr>
              <w:t>确认检查对象</w:t>
            </w:r>
          </w:p>
        </w:tc>
      </w:tr>
    </w:tbl>
    <w:p>
      <w:pPr>
        <w:jc w:val="center"/>
        <w:rPr>
          <w:rFonts w:hint="eastAsia" w:ascii="Calibri" w:hAnsi="Calibri"/>
          <w:sz w:val="32"/>
          <w:szCs w:val="32"/>
        </w:rPr>
      </w:pPr>
      <w:r>
        <w:rPr>
          <w:rFonts w:hint="eastAsia" w:ascii="Calibri" w:hAnsi="Calibri"/>
          <w:sz w:val="44"/>
          <w:szCs w:val="44"/>
        </w:rPr>
        <w:t>↓</w:t>
      </w:r>
    </w:p>
    <w:p>
      <w:pPr>
        <w:rPr>
          <w:vanish/>
        </w:rPr>
      </w:pPr>
    </w:p>
    <w:tbl>
      <w:tblPr>
        <w:tblStyle w:val="5"/>
        <w:tblW w:w="3260"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260" w:type="dxa"/>
            <w:shd w:val="clear" w:color="auto" w:fill="auto"/>
            <w:vAlign w:val="top"/>
          </w:tcPr>
          <w:p>
            <w:pPr>
              <w:jc w:val="center"/>
              <w:rPr>
                <w:rFonts w:ascii="Calibri" w:hAnsi="Calibri"/>
                <w:sz w:val="32"/>
                <w:szCs w:val="32"/>
              </w:rPr>
            </w:pPr>
            <w:r>
              <w:rPr>
                <w:rFonts w:hint="eastAsia" w:ascii="Calibri" w:hAnsi="Calibri"/>
                <w:sz w:val="32"/>
                <w:szCs w:val="32"/>
              </w:rPr>
              <w:t>现场检查</w:t>
            </w:r>
          </w:p>
        </w:tc>
      </w:tr>
    </w:tbl>
    <w:p>
      <w:pPr>
        <w:jc w:val="center"/>
        <w:rPr>
          <w:rFonts w:hint="eastAsia" w:ascii="Calibri" w:hAnsi="Calibri"/>
          <w:sz w:val="32"/>
          <w:szCs w:val="32"/>
        </w:rPr>
      </w:pPr>
      <w:r>
        <w:rPr>
          <w:rFonts w:hint="eastAsia" w:ascii="Calibri" w:hAnsi="Calibri"/>
          <w:sz w:val="44"/>
          <w:szCs w:val="44"/>
        </w:rPr>
        <w:t>↓</w:t>
      </w:r>
    </w:p>
    <w:tbl>
      <w:tblPr>
        <w:tblStyle w:val="5"/>
        <w:tblW w:w="3260"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260" w:type="dxa"/>
            <w:shd w:val="clear" w:color="auto" w:fill="auto"/>
            <w:vAlign w:val="top"/>
          </w:tcPr>
          <w:p>
            <w:pPr>
              <w:jc w:val="center"/>
              <w:rPr>
                <w:rFonts w:ascii="仿宋_GB2312" w:hAnsi="宋体" w:eastAsia="仿宋_GB2312" w:cs="黑体"/>
                <w:sz w:val="32"/>
                <w:szCs w:val="32"/>
              </w:rPr>
            </w:pPr>
            <w:r>
              <w:rPr>
                <w:rFonts w:hint="eastAsia" w:ascii="Calibri" w:hAnsi="Calibri"/>
                <w:sz w:val="32"/>
                <w:szCs w:val="32"/>
              </w:rPr>
              <w:t>发现问题，拟定</w:t>
            </w:r>
            <w:r>
              <w:rPr>
                <w:rFonts w:hint="eastAsia" w:ascii="仿宋_GB2312" w:hAnsi="宋体" w:eastAsia="仿宋_GB2312" w:cs="黑体"/>
                <w:sz w:val="32"/>
                <w:szCs w:val="32"/>
              </w:rPr>
              <w:t>整改落实意见</w:t>
            </w:r>
          </w:p>
        </w:tc>
      </w:tr>
    </w:tbl>
    <w:p>
      <w:pPr>
        <w:jc w:val="center"/>
        <w:rPr>
          <w:rFonts w:hint="eastAsia" w:ascii="Calibri" w:hAnsi="Calibri"/>
          <w:sz w:val="32"/>
          <w:szCs w:val="32"/>
        </w:rPr>
      </w:pPr>
      <w:r>
        <w:rPr>
          <w:rFonts w:hint="eastAsia" w:ascii="Calibri" w:hAnsi="Calibri"/>
          <w:sz w:val="44"/>
          <w:szCs w:val="44"/>
        </w:rPr>
        <w:t>↓</w:t>
      </w:r>
    </w:p>
    <w:tbl>
      <w:tblPr>
        <w:tblStyle w:val="5"/>
        <w:tblW w:w="3260"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260" w:type="dxa"/>
            <w:shd w:val="clear" w:color="auto" w:fill="auto"/>
            <w:vAlign w:val="top"/>
          </w:tcPr>
          <w:p>
            <w:pPr>
              <w:jc w:val="center"/>
              <w:rPr>
                <w:rFonts w:ascii="宋体" w:hAnsi="宋体"/>
                <w:sz w:val="32"/>
                <w:szCs w:val="32"/>
              </w:rPr>
            </w:pPr>
            <w:r>
              <w:rPr>
                <w:rFonts w:hint="eastAsia" w:ascii="宋体" w:hAnsi="宋体" w:cs="黑体"/>
                <w:sz w:val="32"/>
                <w:szCs w:val="32"/>
              </w:rPr>
              <w:t>送达执行</w:t>
            </w:r>
          </w:p>
        </w:tc>
      </w:tr>
    </w:tbl>
    <w:p>
      <w:pPr>
        <w:jc w:val="center"/>
        <w:rPr>
          <w:rFonts w:hint="eastAsia" w:ascii="Calibri" w:hAnsi="Calibri"/>
          <w:sz w:val="32"/>
          <w:szCs w:val="32"/>
        </w:rPr>
      </w:pPr>
      <w:r>
        <w:rPr>
          <w:rFonts w:hint="eastAsia" w:ascii="Calibri" w:hAnsi="Calibri"/>
          <w:sz w:val="44"/>
          <w:szCs w:val="44"/>
        </w:rPr>
        <w:t>↓</w:t>
      </w:r>
    </w:p>
    <w:tbl>
      <w:tblPr>
        <w:tblStyle w:val="5"/>
        <w:tblW w:w="3260"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260" w:type="dxa"/>
            <w:shd w:val="clear" w:color="auto" w:fill="auto"/>
            <w:vAlign w:val="top"/>
          </w:tcPr>
          <w:p>
            <w:pPr>
              <w:jc w:val="center"/>
              <w:rPr>
                <w:rFonts w:ascii="Calibri" w:hAnsi="Calibri"/>
                <w:sz w:val="32"/>
                <w:szCs w:val="32"/>
              </w:rPr>
            </w:pPr>
            <w:r>
              <w:rPr>
                <w:rFonts w:hint="eastAsia" w:ascii="Calibri" w:hAnsi="Calibri"/>
                <w:sz w:val="32"/>
                <w:szCs w:val="32"/>
              </w:rPr>
              <w:t>检查落实情况</w:t>
            </w:r>
          </w:p>
        </w:tc>
      </w:tr>
    </w:tbl>
    <w:p>
      <w:pPr>
        <w:jc w:val="center"/>
        <w:rPr>
          <w:rFonts w:hint="eastAsia" w:ascii="Calibri" w:hAnsi="Calibri"/>
          <w:sz w:val="32"/>
          <w:szCs w:val="32"/>
        </w:rPr>
      </w:pPr>
      <w:r>
        <w:rPr>
          <w:rFonts w:hint="eastAsia" w:ascii="Calibri" w:hAnsi="Calibri"/>
          <w:sz w:val="44"/>
          <w:szCs w:val="44"/>
        </w:rPr>
        <w:t>↓</w:t>
      </w:r>
    </w:p>
    <w:tbl>
      <w:tblPr>
        <w:tblStyle w:val="5"/>
        <w:tblW w:w="3260" w:type="dxa"/>
        <w:tblInd w:w="2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260" w:type="dxa"/>
            <w:shd w:val="clear" w:color="auto" w:fill="auto"/>
            <w:vAlign w:val="top"/>
          </w:tcPr>
          <w:p>
            <w:pPr>
              <w:jc w:val="center"/>
              <w:rPr>
                <w:rFonts w:ascii="Calibri" w:hAnsi="Calibri"/>
                <w:sz w:val="32"/>
                <w:szCs w:val="32"/>
              </w:rPr>
            </w:pPr>
            <w:r>
              <w:rPr>
                <w:rFonts w:hint="eastAsia" w:ascii="Calibri" w:hAnsi="Calibri"/>
                <w:sz w:val="32"/>
                <w:szCs w:val="32"/>
              </w:rPr>
              <w:t>整理归档</w:t>
            </w:r>
          </w:p>
        </w:tc>
      </w:tr>
    </w:tbl>
    <w:p>
      <w:pPr>
        <w:rPr>
          <w:sz w:val="32"/>
          <w:szCs w:val="32"/>
        </w:rPr>
        <w:sectPr>
          <w:pgSz w:w="11906" w:h="16838"/>
          <w:pgMar w:top="1440" w:right="1797" w:bottom="1440" w:left="1797" w:header="851" w:footer="992" w:gutter="0"/>
          <w:cols w:space="720" w:num="1"/>
          <w:docGrid w:type="linesAndChars" w:linePitch="312"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979"/>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文本框12"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2fl+yAQAASg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mFdJnt6HGrOe/ROMXkAzcR0kmPRFFmTIku5P&#10;koohEo6X80W1WJSoPMfY5CBO8fbcQ4h3whmSjIYCzixLyXYPIR5Tp5RUzbpbpTXes1pb0jf060V1&#10;kR+cIgiuLdZIrR+bTVYc1sPIYO3aPdLuce4NtbiYlOh7i7KmFZkMmIz1ZGw9qE2XdyiVD/56G7Gb&#10;3GSqcIQdC+PAMs1xudJGvPdz1tsvsH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Du2fl+y&#10;AQAASgMAAA4AAAAAAAAAAQAgAAAAHwEAAGRycy9lMm9Eb2MueG1sUEsFBgAAAAAGAAYAWQEAAEMF&#10;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8028F"/>
    <w:rsid w:val="168A2346"/>
    <w:rsid w:val="1718028F"/>
    <w:rsid w:val="38CC6E09"/>
    <w:rsid w:val="4B2B6DC7"/>
    <w:rsid w:val="6E6156E3"/>
    <w:rsid w:val="70980CFC"/>
    <w:rsid w:val="77B33F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2016-09-06T02:31:00Z</dcterms:created>
  <dc:creator>zzy</dc:creator>
  <cp:lastModifiedBy>zzy</cp:lastModifiedBy>
  <dcterms:modified xsi:type="dcterms:W3CDTF">2016-09-06T07:26:55Z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