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2EC72">
      <w:pPr>
        <w:rPr>
          <w:rFonts w:hint="eastAsia"/>
          <w:color w:val="auto"/>
        </w:rPr>
      </w:pPr>
    </w:p>
    <w:p w14:paraId="45311326">
      <w:pPr>
        <w:rPr>
          <w:rFonts w:hint="eastAsia"/>
          <w:color w:val="auto"/>
        </w:rPr>
      </w:pPr>
    </w:p>
    <w:p w14:paraId="1E168934">
      <w:pPr>
        <w:rPr>
          <w:rFonts w:hint="eastAsia"/>
          <w:color w:val="auto"/>
        </w:rPr>
      </w:pPr>
    </w:p>
    <w:p w14:paraId="0B22ADED">
      <w:pPr>
        <w:jc w:val="center"/>
        <w:rPr>
          <w:rFonts w:hint="default" w:ascii="黑体" w:hAnsi="黑体" w:eastAsia="黑体"/>
          <w:b/>
          <w:snapToGrid w:val="0"/>
          <w:color w:val="auto"/>
          <w:spacing w:val="0"/>
          <w:sz w:val="56"/>
          <w:szCs w:val="52"/>
          <w:lang w:val="en-US" w:eastAsia="zh-CN"/>
        </w:rPr>
      </w:pPr>
      <w:r>
        <w:rPr>
          <w:rFonts w:hint="eastAsia" w:ascii="黑体" w:hAnsi="黑体" w:eastAsia="黑体"/>
          <w:b/>
          <w:snapToGrid w:val="0"/>
          <w:color w:val="auto"/>
          <w:spacing w:val="0"/>
          <w:sz w:val="56"/>
          <w:szCs w:val="52"/>
          <w:lang w:val="en-US" w:eastAsia="zh-CN"/>
        </w:rPr>
        <w:t>贵州省</w:t>
      </w:r>
      <w:r>
        <w:rPr>
          <w:rFonts w:hint="eastAsia" w:ascii="黑体" w:hAnsi="黑体" w:eastAsia="黑体"/>
          <w:b/>
          <w:snapToGrid w:val="0"/>
          <w:color w:val="auto"/>
          <w:spacing w:val="0"/>
          <w:sz w:val="56"/>
          <w:szCs w:val="52"/>
        </w:rPr>
        <w:t>水土保持“十四五”规划</w:t>
      </w:r>
    </w:p>
    <w:p w14:paraId="63CA8799">
      <w:pPr>
        <w:spacing w:line="800" w:lineRule="exact"/>
        <w:rPr>
          <w:rFonts w:hint="eastAsia"/>
          <w:color w:val="auto"/>
        </w:rPr>
      </w:pPr>
    </w:p>
    <w:p w14:paraId="0F23ECB1">
      <w:pPr>
        <w:rPr>
          <w:rFonts w:hint="eastAsia"/>
          <w:color w:val="auto"/>
        </w:rPr>
      </w:pPr>
    </w:p>
    <w:p w14:paraId="46941BB9">
      <w:pPr>
        <w:rPr>
          <w:rFonts w:hint="eastAsia"/>
          <w:color w:val="auto"/>
        </w:rPr>
      </w:pPr>
    </w:p>
    <w:p w14:paraId="10A1891C">
      <w:pPr>
        <w:rPr>
          <w:rFonts w:hint="eastAsia"/>
          <w:color w:val="auto"/>
        </w:rPr>
      </w:pPr>
    </w:p>
    <w:p w14:paraId="57BB8351">
      <w:pPr>
        <w:rPr>
          <w:rFonts w:hint="eastAsia"/>
          <w:color w:val="auto"/>
        </w:rPr>
      </w:pPr>
    </w:p>
    <w:p w14:paraId="4C52BA62">
      <w:pPr>
        <w:rPr>
          <w:rFonts w:hint="eastAsia"/>
          <w:color w:val="auto"/>
        </w:rPr>
      </w:pPr>
    </w:p>
    <w:p w14:paraId="059A0E84">
      <w:pPr>
        <w:rPr>
          <w:rFonts w:hint="eastAsia"/>
          <w:color w:val="auto"/>
        </w:rPr>
      </w:pPr>
    </w:p>
    <w:p w14:paraId="7865C58A">
      <w:pPr>
        <w:rPr>
          <w:rFonts w:hint="eastAsia"/>
          <w:color w:val="auto"/>
        </w:rPr>
      </w:pPr>
    </w:p>
    <w:p w14:paraId="229AAE2C">
      <w:pPr>
        <w:rPr>
          <w:rFonts w:hint="eastAsia"/>
          <w:color w:val="auto"/>
        </w:rPr>
      </w:pPr>
    </w:p>
    <w:p w14:paraId="2F4B8BF3">
      <w:pPr>
        <w:jc w:val="center"/>
        <w:rPr>
          <w:rFonts w:ascii="宋体" w:hAnsi="宋体"/>
          <w:b/>
          <w:bCs/>
          <w:snapToGrid w:val="0"/>
          <w:color w:val="auto"/>
          <w:sz w:val="36"/>
          <w:szCs w:val="36"/>
        </w:rPr>
      </w:pPr>
    </w:p>
    <w:p w14:paraId="48CEA66A">
      <w:pPr>
        <w:pStyle w:val="12"/>
        <w:rPr>
          <w:rFonts w:ascii="宋体" w:hAnsi="宋体"/>
          <w:b/>
          <w:bCs/>
          <w:snapToGrid w:val="0"/>
          <w:color w:val="auto"/>
          <w:sz w:val="36"/>
          <w:szCs w:val="36"/>
        </w:rPr>
      </w:pPr>
    </w:p>
    <w:p w14:paraId="18C8599C">
      <w:pPr>
        <w:pStyle w:val="12"/>
        <w:rPr>
          <w:rFonts w:ascii="宋体" w:hAnsi="宋体"/>
          <w:b/>
          <w:bCs/>
          <w:snapToGrid w:val="0"/>
          <w:color w:val="auto"/>
          <w:sz w:val="36"/>
          <w:szCs w:val="36"/>
        </w:rPr>
      </w:pPr>
    </w:p>
    <w:p w14:paraId="5FF4889C">
      <w:pPr>
        <w:pStyle w:val="12"/>
        <w:rPr>
          <w:rFonts w:ascii="宋体" w:hAnsi="宋体"/>
          <w:b/>
          <w:bCs/>
          <w:snapToGrid w:val="0"/>
          <w:color w:val="auto"/>
          <w:sz w:val="36"/>
          <w:szCs w:val="36"/>
        </w:rPr>
      </w:pPr>
    </w:p>
    <w:p w14:paraId="0AF93C87">
      <w:pPr>
        <w:pStyle w:val="12"/>
        <w:rPr>
          <w:rFonts w:ascii="宋体" w:hAnsi="宋体"/>
          <w:b/>
          <w:bCs/>
          <w:snapToGrid w:val="0"/>
          <w:color w:val="auto"/>
          <w:sz w:val="36"/>
          <w:szCs w:val="36"/>
        </w:rPr>
      </w:pPr>
    </w:p>
    <w:p w14:paraId="115F3641">
      <w:pPr>
        <w:pStyle w:val="12"/>
        <w:rPr>
          <w:rFonts w:ascii="宋体" w:hAnsi="宋体"/>
          <w:b/>
          <w:bCs/>
          <w:snapToGrid w:val="0"/>
          <w:color w:val="auto"/>
          <w:sz w:val="36"/>
          <w:szCs w:val="36"/>
        </w:rPr>
      </w:pPr>
    </w:p>
    <w:p w14:paraId="18686E91">
      <w:pPr>
        <w:pStyle w:val="12"/>
        <w:rPr>
          <w:rFonts w:ascii="宋体" w:hAnsi="宋体"/>
          <w:b/>
          <w:bCs/>
          <w:snapToGrid w:val="0"/>
          <w:color w:val="auto"/>
          <w:sz w:val="36"/>
          <w:szCs w:val="36"/>
        </w:rPr>
      </w:pPr>
    </w:p>
    <w:p w14:paraId="77683846">
      <w:pPr>
        <w:pStyle w:val="12"/>
        <w:rPr>
          <w:rFonts w:ascii="宋体" w:hAnsi="宋体"/>
          <w:b/>
          <w:bCs/>
          <w:snapToGrid w:val="0"/>
          <w:color w:val="auto"/>
          <w:sz w:val="36"/>
          <w:szCs w:val="36"/>
        </w:rPr>
      </w:pPr>
    </w:p>
    <w:p w14:paraId="57B082FC">
      <w:pPr>
        <w:pStyle w:val="12"/>
        <w:rPr>
          <w:rFonts w:ascii="宋体" w:hAnsi="宋体"/>
          <w:b/>
          <w:bCs/>
          <w:snapToGrid w:val="0"/>
          <w:color w:val="auto"/>
          <w:sz w:val="36"/>
          <w:szCs w:val="36"/>
        </w:rPr>
      </w:pPr>
    </w:p>
    <w:p w14:paraId="3EA4E31A">
      <w:pPr>
        <w:pStyle w:val="12"/>
        <w:jc w:val="center"/>
        <w:rPr>
          <w:rFonts w:hint="eastAsia" w:hAnsi="宋体"/>
          <w:b/>
          <w:bCs/>
          <w:snapToGrid w:val="0"/>
          <w:color w:val="auto"/>
          <w:sz w:val="36"/>
          <w:szCs w:val="36"/>
          <w:lang w:val="en-US" w:eastAsia="zh-CN"/>
        </w:rPr>
      </w:pPr>
      <w:r>
        <w:rPr>
          <w:rFonts w:hint="eastAsia" w:hAnsi="宋体"/>
          <w:b/>
          <w:bCs/>
          <w:snapToGrid w:val="0"/>
          <w:color w:val="auto"/>
          <w:sz w:val="36"/>
          <w:szCs w:val="36"/>
          <w:lang w:val="en-US" w:eastAsia="zh-CN"/>
        </w:rPr>
        <w:t>贵 州 省 水 利 厅</w:t>
      </w:r>
    </w:p>
    <w:p w14:paraId="3F91EDFC">
      <w:pPr>
        <w:jc w:val="center"/>
        <w:rPr>
          <w:rFonts w:hint="eastAsia" w:ascii="宋体" w:hAnsi="宋体"/>
          <w:b/>
          <w:bCs/>
          <w:snapToGrid w:val="0"/>
          <w:color w:val="auto"/>
          <w:sz w:val="36"/>
          <w:szCs w:val="36"/>
        </w:rPr>
      </w:pPr>
      <w:r>
        <w:rPr>
          <w:rFonts w:hint="eastAsia" w:ascii="宋体" w:hAnsi="宋体"/>
          <w:b/>
          <w:bCs/>
          <w:snapToGrid w:val="0"/>
          <w:color w:val="auto"/>
          <w:sz w:val="36"/>
          <w:szCs w:val="36"/>
        </w:rPr>
        <w:t>二○二一年</w:t>
      </w:r>
      <w:r>
        <w:rPr>
          <w:rFonts w:hint="eastAsia" w:ascii="宋体" w:hAnsi="宋体"/>
          <w:b/>
          <w:bCs/>
          <w:snapToGrid w:val="0"/>
          <w:color w:val="auto"/>
          <w:sz w:val="36"/>
          <w:szCs w:val="36"/>
          <w:lang w:val="en-US" w:eastAsia="zh-CN"/>
        </w:rPr>
        <w:t>十二</w:t>
      </w:r>
      <w:r>
        <w:rPr>
          <w:rFonts w:hint="eastAsia" w:ascii="宋体" w:hAnsi="宋体"/>
          <w:b/>
          <w:bCs/>
          <w:snapToGrid w:val="0"/>
          <w:color w:val="auto"/>
          <w:sz w:val="36"/>
          <w:szCs w:val="36"/>
        </w:rPr>
        <w:t>月</w:t>
      </w:r>
    </w:p>
    <w:p w14:paraId="473F5895">
      <w:pPr>
        <w:pStyle w:val="12"/>
        <w:rPr>
          <w:rFonts w:hint="eastAsia" w:ascii="宋体" w:hAnsi="宋体"/>
          <w:b/>
          <w:bCs/>
          <w:snapToGrid w:val="0"/>
          <w:color w:val="auto"/>
          <w:sz w:val="36"/>
          <w:szCs w:val="36"/>
        </w:rPr>
      </w:pPr>
    </w:p>
    <w:p w14:paraId="31DCA0EB">
      <w:pPr>
        <w:jc w:val="center"/>
        <w:rPr>
          <w:rFonts w:hint="eastAsia" w:ascii="黑体" w:hAnsi="黑体" w:eastAsia="黑体"/>
          <w:b/>
          <w:snapToGrid w:val="0"/>
          <w:color w:val="auto"/>
          <w:spacing w:val="10"/>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sdt>
      <w:sdtPr>
        <w:rPr>
          <w:rFonts w:hint="eastAsia" w:ascii="黑体" w:hAnsi="黑体" w:eastAsia="黑体" w:cs="黑体"/>
          <w:b/>
          <w:bCs/>
          <w:color w:val="auto"/>
          <w:kern w:val="2"/>
          <w:sz w:val="21"/>
          <w:szCs w:val="24"/>
          <w:lang w:val="en-US" w:eastAsia="zh-CN" w:bidi="ar-SA"/>
        </w:rPr>
        <w:id w:val="147467742"/>
        <w15:color w:val="DBDBDB"/>
        <w:docPartObj>
          <w:docPartGallery w:val="Table of Contents"/>
          <w:docPartUnique/>
        </w:docPartObj>
      </w:sdtPr>
      <w:sdtEndPr>
        <w:rPr>
          <w:rFonts w:hint="default" w:ascii="Times New Roman" w:hAnsi="Times New Roman" w:eastAsia="宋体" w:cs="Times New Roman"/>
          <w:b/>
          <w:bCs/>
          <w:color w:val="auto"/>
          <w:kern w:val="2"/>
          <w:sz w:val="24"/>
          <w:szCs w:val="24"/>
          <w:lang w:val="en-US" w:eastAsia="zh-CN" w:bidi="ar-SA"/>
        </w:rPr>
      </w:sdtEndPr>
      <w:sdtContent>
        <w:p w14:paraId="6D4A67AC">
          <w:pPr>
            <w:spacing w:before="0" w:beforeLines="0" w:after="0" w:afterLines="0" w:line="240" w:lineRule="auto"/>
            <w:ind w:left="0" w:leftChars="0" w:right="0" w:rightChars="0" w:firstLine="0" w:firstLineChars="0"/>
            <w:jc w:val="center"/>
            <w:rPr>
              <w:rFonts w:hint="eastAsia" w:ascii="黑体" w:hAnsi="黑体" w:eastAsia="黑体" w:cs="黑体"/>
              <w:b/>
              <w:bCs/>
              <w:color w:val="auto"/>
            </w:rPr>
          </w:pPr>
          <w:r>
            <w:rPr>
              <w:rFonts w:hint="eastAsia" w:ascii="黑体" w:hAnsi="黑体" w:eastAsia="黑体" w:cs="黑体"/>
              <w:b/>
              <w:bCs/>
              <w:color w:val="auto"/>
              <w:sz w:val="28"/>
              <w:szCs w:val="28"/>
            </w:rPr>
            <w:t>目</w:t>
          </w:r>
          <w:r>
            <w:rPr>
              <w:rFonts w:hint="eastAsia" w:ascii="黑体" w:hAnsi="黑体" w:eastAsia="黑体" w:cs="黑体"/>
              <w:b/>
              <w:bCs/>
              <w:color w:val="auto"/>
              <w:sz w:val="28"/>
              <w:szCs w:val="28"/>
              <w:lang w:val="en-US" w:eastAsia="zh-CN"/>
            </w:rPr>
            <w:t xml:space="preserve">   </w:t>
          </w:r>
          <w:r>
            <w:rPr>
              <w:rFonts w:hint="eastAsia" w:ascii="黑体" w:hAnsi="黑体" w:eastAsia="黑体" w:cs="黑体"/>
              <w:b/>
              <w:bCs/>
              <w:color w:val="auto"/>
              <w:sz w:val="28"/>
              <w:szCs w:val="28"/>
            </w:rPr>
            <w:t>录</w:t>
          </w:r>
        </w:p>
        <w:p w14:paraId="50100614">
          <w:pPr>
            <w:pStyle w:val="14"/>
            <w:tabs>
              <w:tab w:val="right" w:leader="dot" w:pos="8306"/>
            </w:tabs>
            <w:rPr>
              <w:color w:val="auto"/>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TOC \o "1-2" \h \u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_Toc14867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前  言</w:t>
          </w:r>
          <w:r>
            <w:rPr>
              <w:color w:val="auto"/>
            </w:rPr>
            <w:tab/>
          </w:r>
          <w:r>
            <w:rPr>
              <w:color w:val="auto"/>
            </w:rPr>
            <w:fldChar w:fldCharType="begin"/>
          </w:r>
          <w:r>
            <w:rPr>
              <w:color w:val="auto"/>
            </w:rPr>
            <w:instrText xml:space="preserve"> PAGEREF _Toc14867 \h </w:instrText>
          </w:r>
          <w:r>
            <w:rPr>
              <w:color w:val="auto"/>
            </w:rPr>
            <w:fldChar w:fldCharType="separate"/>
          </w:r>
          <w:r>
            <w:rPr>
              <w:color w:val="auto"/>
            </w:rPr>
            <w:t>1</w:t>
          </w:r>
          <w:r>
            <w:rPr>
              <w:color w:val="auto"/>
            </w:rPr>
            <w:fldChar w:fldCharType="end"/>
          </w:r>
          <w:r>
            <w:rPr>
              <w:rFonts w:hint="default" w:ascii="Times New Roman" w:hAnsi="Times New Roman" w:eastAsia="宋体" w:cs="Times New Roman"/>
              <w:color w:val="auto"/>
              <w:szCs w:val="24"/>
            </w:rPr>
            <w:fldChar w:fldCharType="end"/>
          </w:r>
        </w:p>
        <w:p w14:paraId="17C4A32E">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_Toc25573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第一章 基本情况</w:t>
          </w:r>
          <w:r>
            <w:rPr>
              <w:color w:val="auto"/>
            </w:rPr>
            <w:tab/>
          </w:r>
          <w:r>
            <w:rPr>
              <w:color w:val="auto"/>
            </w:rPr>
            <w:fldChar w:fldCharType="begin"/>
          </w:r>
          <w:r>
            <w:rPr>
              <w:color w:val="auto"/>
            </w:rPr>
            <w:instrText xml:space="preserve"> PAGEREF _Toc25573 \h </w:instrText>
          </w:r>
          <w:r>
            <w:rPr>
              <w:color w:val="auto"/>
            </w:rPr>
            <w:fldChar w:fldCharType="separate"/>
          </w:r>
          <w:r>
            <w:rPr>
              <w:color w:val="auto"/>
            </w:rPr>
            <w:t>3</w:t>
          </w:r>
          <w:r>
            <w:rPr>
              <w:color w:val="auto"/>
            </w:rPr>
            <w:fldChar w:fldCharType="end"/>
          </w:r>
          <w:r>
            <w:rPr>
              <w:rFonts w:hint="default" w:ascii="Times New Roman" w:hAnsi="Times New Roman" w:eastAsia="宋体" w:cs="Times New Roman"/>
              <w:color w:val="auto"/>
              <w:szCs w:val="24"/>
            </w:rPr>
            <w:fldChar w:fldCharType="end"/>
          </w:r>
        </w:p>
        <w:p w14:paraId="0759D723">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_Toc8768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一、</w:t>
          </w:r>
          <w:r>
            <w:rPr>
              <w:rFonts w:hint="default" w:ascii="Times New Roman" w:hAnsi="Times New Roman" w:eastAsia="黑体" w:cs="Times New Roman"/>
              <w:color w:val="auto"/>
              <w:szCs w:val="32"/>
            </w:rPr>
            <w:t>自然</w:t>
          </w:r>
          <w:r>
            <w:rPr>
              <w:rFonts w:hint="default" w:ascii="Times New Roman" w:hAnsi="Times New Roman" w:eastAsia="黑体" w:cs="Times New Roman"/>
              <w:color w:val="auto"/>
              <w:szCs w:val="32"/>
              <w:lang w:val="en-US" w:eastAsia="zh-CN"/>
            </w:rPr>
            <w:t>环境</w:t>
          </w:r>
          <w:r>
            <w:rPr>
              <w:color w:val="auto"/>
            </w:rPr>
            <w:tab/>
          </w:r>
          <w:r>
            <w:rPr>
              <w:color w:val="auto"/>
            </w:rPr>
            <w:fldChar w:fldCharType="begin"/>
          </w:r>
          <w:r>
            <w:rPr>
              <w:color w:val="auto"/>
            </w:rPr>
            <w:instrText xml:space="preserve"> PAGEREF _Toc8768 \h </w:instrText>
          </w:r>
          <w:r>
            <w:rPr>
              <w:color w:val="auto"/>
            </w:rPr>
            <w:fldChar w:fldCharType="separate"/>
          </w:r>
          <w:r>
            <w:rPr>
              <w:color w:val="auto"/>
            </w:rPr>
            <w:t>3</w:t>
          </w:r>
          <w:r>
            <w:rPr>
              <w:color w:val="auto"/>
            </w:rPr>
            <w:fldChar w:fldCharType="end"/>
          </w:r>
          <w:r>
            <w:rPr>
              <w:rFonts w:hint="default" w:ascii="Times New Roman" w:hAnsi="Times New Roman" w:eastAsia="宋体" w:cs="Times New Roman"/>
              <w:color w:val="auto"/>
              <w:szCs w:val="24"/>
            </w:rPr>
            <w:fldChar w:fldCharType="end"/>
          </w:r>
        </w:p>
        <w:p w14:paraId="1ED2F9D5">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_Toc2277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二、社会经济</w:t>
          </w:r>
          <w:r>
            <w:rPr>
              <w:color w:val="auto"/>
            </w:rPr>
            <w:tab/>
          </w:r>
          <w:r>
            <w:rPr>
              <w:color w:val="auto"/>
            </w:rPr>
            <w:fldChar w:fldCharType="begin"/>
          </w:r>
          <w:r>
            <w:rPr>
              <w:color w:val="auto"/>
            </w:rPr>
            <w:instrText xml:space="preserve"> PAGEREF _Toc2277 \h </w:instrText>
          </w:r>
          <w:r>
            <w:rPr>
              <w:color w:val="auto"/>
            </w:rPr>
            <w:fldChar w:fldCharType="separate"/>
          </w:r>
          <w:r>
            <w:rPr>
              <w:color w:val="auto"/>
            </w:rPr>
            <w:t>5</w:t>
          </w:r>
          <w:r>
            <w:rPr>
              <w:color w:val="auto"/>
            </w:rPr>
            <w:fldChar w:fldCharType="end"/>
          </w:r>
          <w:r>
            <w:rPr>
              <w:rFonts w:hint="default" w:ascii="Times New Roman" w:hAnsi="Times New Roman" w:eastAsia="宋体" w:cs="Times New Roman"/>
              <w:color w:val="auto"/>
              <w:szCs w:val="24"/>
            </w:rPr>
            <w:fldChar w:fldCharType="end"/>
          </w:r>
        </w:p>
        <w:p w14:paraId="6A55EB51">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_Toc12358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三、水土流失现状</w:t>
          </w:r>
          <w:r>
            <w:rPr>
              <w:color w:val="auto"/>
            </w:rPr>
            <w:tab/>
          </w:r>
          <w:r>
            <w:rPr>
              <w:color w:val="auto"/>
            </w:rPr>
            <w:fldChar w:fldCharType="begin"/>
          </w:r>
          <w:r>
            <w:rPr>
              <w:color w:val="auto"/>
            </w:rPr>
            <w:instrText xml:space="preserve"> PAGEREF _Toc12358 \h </w:instrText>
          </w:r>
          <w:r>
            <w:rPr>
              <w:color w:val="auto"/>
            </w:rPr>
            <w:fldChar w:fldCharType="separate"/>
          </w:r>
          <w:r>
            <w:rPr>
              <w:color w:val="auto"/>
            </w:rPr>
            <w:t>6</w:t>
          </w:r>
          <w:r>
            <w:rPr>
              <w:color w:val="auto"/>
            </w:rPr>
            <w:fldChar w:fldCharType="end"/>
          </w:r>
          <w:r>
            <w:rPr>
              <w:rFonts w:hint="default" w:ascii="Times New Roman" w:hAnsi="Times New Roman" w:eastAsia="宋体" w:cs="Times New Roman"/>
              <w:color w:val="auto"/>
              <w:szCs w:val="24"/>
            </w:rPr>
            <w:fldChar w:fldCharType="end"/>
          </w:r>
        </w:p>
        <w:p w14:paraId="50FF92D2">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_Toc9955 </w:instrText>
          </w:r>
          <w:r>
            <w:rPr>
              <w:rFonts w:hint="default" w:ascii="Times New Roman" w:hAnsi="Times New Roman" w:eastAsia="宋体" w:cs="Times New Roman"/>
              <w:color w:val="auto"/>
              <w:szCs w:val="24"/>
            </w:rPr>
            <w:fldChar w:fldCharType="separate"/>
          </w:r>
          <w:r>
            <w:rPr>
              <w:rFonts w:hint="default" w:ascii="方正小标宋_GBK" w:hAnsi="Times New Roman" w:eastAsia="方正小标宋_GBK" w:cs="Times New Roman"/>
              <w:bCs w:val="0"/>
              <w:color w:val="auto"/>
              <w:kern w:val="44"/>
              <w:szCs w:val="36"/>
              <w:lang w:val="en-US" w:eastAsia="zh-CN" w:bidi="ar-SA"/>
            </w:rPr>
            <w:t>第二章 现状评价及需求分析</w:t>
          </w:r>
          <w:r>
            <w:rPr>
              <w:color w:val="auto"/>
            </w:rPr>
            <w:tab/>
          </w:r>
          <w:r>
            <w:rPr>
              <w:color w:val="auto"/>
            </w:rPr>
            <w:fldChar w:fldCharType="begin"/>
          </w:r>
          <w:r>
            <w:rPr>
              <w:color w:val="auto"/>
            </w:rPr>
            <w:instrText xml:space="preserve"> PAGEREF _Toc9955 \h </w:instrText>
          </w:r>
          <w:r>
            <w:rPr>
              <w:color w:val="auto"/>
            </w:rPr>
            <w:fldChar w:fldCharType="separate"/>
          </w:r>
          <w:r>
            <w:rPr>
              <w:color w:val="auto"/>
            </w:rPr>
            <w:t>9</w:t>
          </w:r>
          <w:r>
            <w:rPr>
              <w:color w:val="auto"/>
            </w:rPr>
            <w:fldChar w:fldCharType="end"/>
          </w:r>
          <w:r>
            <w:rPr>
              <w:rFonts w:hint="default" w:ascii="Times New Roman" w:hAnsi="Times New Roman" w:eastAsia="宋体" w:cs="Times New Roman"/>
              <w:color w:val="auto"/>
              <w:szCs w:val="24"/>
            </w:rPr>
            <w:fldChar w:fldCharType="end"/>
          </w:r>
        </w:p>
        <w:p w14:paraId="603EFCF8">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_Toc16573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一、“十三五”水土保持成效</w:t>
          </w:r>
          <w:r>
            <w:rPr>
              <w:color w:val="auto"/>
            </w:rPr>
            <w:tab/>
          </w:r>
          <w:r>
            <w:rPr>
              <w:color w:val="auto"/>
            </w:rPr>
            <w:fldChar w:fldCharType="begin"/>
          </w:r>
          <w:r>
            <w:rPr>
              <w:color w:val="auto"/>
            </w:rPr>
            <w:instrText xml:space="preserve"> PAGEREF _Toc16573 \h </w:instrText>
          </w:r>
          <w:r>
            <w:rPr>
              <w:color w:val="auto"/>
            </w:rPr>
            <w:fldChar w:fldCharType="separate"/>
          </w:r>
          <w:r>
            <w:rPr>
              <w:color w:val="auto"/>
            </w:rPr>
            <w:t>9</w:t>
          </w:r>
          <w:r>
            <w:rPr>
              <w:color w:val="auto"/>
            </w:rPr>
            <w:fldChar w:fldCharType="end"/>
          </w:r>
          <w:r>
            <w:rPr>
              <w:rFonts w:hint="default" w:ascii="Times New Roman" w:hAnsi="Times New Roman" w:eastAsia="宋体" w:cs="Times New Roman"/>
              <w:color w:val="auto"/>
              <w:szCs w:val="24"/>
            </w:rPr>
            <w:fldChar w:fldCharType="end"/>
          </w:r>
        </w:p>
        <w:p w14:paraId="54701803">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_Toc28239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二、面临的新形势和新要求</w:t>
          </w:r>
          <w:r>
            <w:rPr>
              <w:color w:val="auto"/>
            </w:rPr>
            <w:tab/>
          </w:r>
          <w:r>
            <w:rPr>
              <w:color w:val="auto"/>
            </w:rPr>
            <w:fldChar w:fldCharType="begin"/>
          </w:r>
          <w:r>
            <w:rPr>
              <w:color w:val="auto"/>
            </w:rPr>
            <w:instrText xml:space="preserve"> PAGEREF _Toc28239 \h </w:instrText>
          </w:r>
          <w:r>
            <w:rPr>
              <w:color w:val="auto"/>
            </w:rPr>
            <w:fldChar w:fldCharType="separate"/>
          </w:r>
          <w:r>
            <w:rPr>
              <w:color w:val="auto"/>
            </w:rPr>
            <w:t>17</w:t>
          </w:r>
          <w:r>
            <w:rPr>
              <w:color w:val="auto"/>
            </w:rPr>
            <w:fldChar w:fldCharType="end"/>
          </w:r>
          <w:r>
            <w:rPr>
              <w:rFonts w:hint="default" w:ascii="Times New Roman" w:hAnsi="Times New Roman" w:eastAsia="宋体" w:cs="Times New Roman"/>
              <w:color w:val="auto"/>
              <w:szCs w:val="24"/>
            </w:rPr>
            <w:fldChar w:fldCharType="end"/>
          </w:r>
        </w:p>
        <w:p w14:paraId="777EA380">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_Toc22436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第三章 总体要求</w:t>
          </w:r>
          <w:r>
            <w:rPr>
              <w:color w:val="auto"/>
            </w:rPr>
            <w:tab/>
          </w:r>
          <w:r>
            <w:rPr>
              <w:color w:val="auto"/>
            </w:rPr>
            <w:fldChar w:fldCharType="begin"/>
          </w:r>
          <w:r>
            <w:rPr>
              <w:color w:val="auto"/>
            </w:rPr>
            <w:instrText xml:space="preserve"> PAGEREF _Toc22436 \h </w:instrText>
          </w:r>
          <w:r>
            <w:rPr>
              <w:color w:val="auto"/>
            </w:rPr>
            <w:fldChar w:fldCharType="separate"/>
          </w:r>
          <w:r>
            <w:rPr>
              <w:color w:val="auto"/>
            </w:rPr>
            <w:t>21</w:t>
          </w:r>
          <w:r>
            <w:rPr>
              <w:color w:val="auto"/>
            </w:rPr>
            <w:fldChar w:fldCharType="end"/>
          </w:r>
          <w:r>
            <w:rPr>
              <w:rFonts w:hint="default" w:ascii="Times New Roman" w:hAnsi="Times New Roman" w:eastAsia="宋体" w:cs="Times New Roman"/>
              <w:color w:val="auto"/>
              <w:szCs w:val="24"/>
            </w:rPr>
            <w:fldChar w:fldCharType="end"/>
          </w:r>
        </w:p>
        <w:p w14:paraId="5D398DCD">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_Toc23353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w:t>
          </w:r>
          <w:r>
            <w:rPr>
              <w:rFonts w:hint="default" w:ascii="黑体" w:hAnsi="黑体" w:eastAsia="黑体" w:cs="黑体"/>
              <w:color w:val="auto"/>
              <w:szCs w:val="32"/>
              <w:lang w:val="en-US" w:eastAsia="zh-CN"/>
            </w:rPr>
            <w:t>指导思想</w:t>
          </w:r>
          <w:r>
            <w:rPr>
              <w:color w:val="auto"/>
            </w:rPr>
            <w:tab/>
          </w:r>
          <w:r>
            <w:rPr>
              <w:color w:val="auto"/>
            </w:rPr>
            <w:fldChar w:fldCharType="begin"/>
          </w:r>
          <w:r>
            <w:rPr>
              <w:color w:val="auto"/>
            </w:rPr>
            <w:instrText xml:space="preserve"> PAGEREF _Toc23353 \h </w:instrText>
          </w:r>
          <w:r>
            <w:rPr>
              <w:color w:val="auto"/>
            </w:rPr>
            <w:fldChar w:fldCharType="separate"/>
          </w:r>
          <w:r>
            <w:rPr>
              <w:color w:val="auto"/>
            </w:rPr>
            <w:t>21</w:t>
          </w:r>
          <w:r>
            <w:rPr>
              <w:color w:val="auto"/>
            </w:rPr>
            <w:fldChar w:fldCharType="end"/>
          </w:r>
          <w:r>
            <w:rPr>
              <w:rFonts w:hint="default" w:ascii="Times New Roman" w:hAnsi="Times New Roman" w:eastAsia="宋体" w:cs="Times New Roman"/>
              <w:color w:val="auto"/>
              <w:szCs w:val="24"/>
            </w:rPr>
            <w:fldChar w:fldCharType="end"/>
          </w:r>
        </w:p>
        <w:p w14:paraId="7837E60E">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_Toc4271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w:t>
          </w:r>
          <w:r>
            <w:rPr>
              <w:rFonts w:hint="default" w:ascii="黑体" w:hAnsi="黑体" w:eastAsia="黑体" w:cs="黑体"/>
              <w:color w:val="auto"/>
              <w:szCs w:val="32"/>
              <w:lang w:val="en-US" w:eastAsia="zh-CN"/>
            </w:rPr>
            <w:t>基本原则</w:t>
          </w:r>
          <w:r>
            <w:rPr>
              <w:color w:val="auto"/>
            </w:rPr>
            <w:tab/>
          </w:r>
          <w:r>
            <w:rPr>
              <w:color w:val="auto"/>
            </w:rPr>
            <w:fldChar w:fldCharType="begin"/>
          </w:r>
          <w:r>
            <w:rPr>
              <w:color w:val="auto"/>
            </w:rPr>
            <w:instrText xml:space="preserve"> PAGEREF _Toc4271 \h </w:instrText>
          </w:r>
          <w:r>
            <w:rPr>
              <w:color w:val="auto"/>
            </w:rPr>
            <w:fldChar w:fldCharType="separate"/>
          </w:r>
          <w:r>
            <w:rPr>
              <w:color w:val="auto"/>
            </w:rPr>
            <w:t>21</w:t>
          </w:r>
          <w:r>
            <w:rPr>
              <w:color w:val="auto"/>
            </w:rPr>
            <w:fldChar w:fldCharType="end"/>
          </w:r>
          <w:r>
            <w:rPr>
              <w:rFonts w:hint="default" w:ascii="Times New Roman" w:hAnsi="Times New Roman" w:eastAsia="宋体" w:cs="Times New Roman"/>
              <w:color w:val="auto"/>
              <w:szCs w:val="24"/>
            </w:rPr>
            <w:fldChar w:fldCharType="end"/>
          </w:r>
        </w:p>
        <w:p w14:paraId="69536D18">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_Toc29400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三、规划依据</w:t>
          </w:r>
          <w:r>
            <w:rPr>
              <w:color w:val="auto"/>
            </w:rPr>
            <w:tab/>
          </w:r>
          <w:r>
            <w:rPr>
              <w:color w:val="auto"/>
            </w:rPr>
            <w:fldChar w:fldCharType="begin"/>
          </w:r>
          <w:r>
            <w:rPr>
              <w:color w:val="auto"/>
            </w:rPr>
            <w:instrText xml:space="preserve"> PAGEREF _Toc29400 \h </w:instrText>
          </w:r>
          <w:r>
            <w:rPr>
              <w:color w:val="auto"/>
            </w:rPr>
            <w:fldChar w:fldCharType="separate"/>
          </w:r>
          <w:r>
            <w:rPr>
              <w:color w:val="auto"/>
            </w:rPr>
            <w:t>23</w:t>
          </w:r>
          <w:r>
            <w:rPr>
              <w:color w:val="auto"/>
            </w:rPr>
            <w:fldChar w:fldCharType="end"/>
          </w:r>
          <w:r>
            <w:rPr>
              <w:rFonts w:hint="default" w:ascii="Times New Roman" w:hAnsi="Times New Roman" w:eastAsia="宋体" w:cs="Times New Roman"/>
              <w:color w:val="auto"/>
              <w:szCs w:val="24"/>
            </w:rPr>
            <w:fldChar w:fldCharType="end"/>
          </w:r>
        </w:p>
        <w:p w14:paraId="5525D15F">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_Toc15149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四、规划时段</w:t>
          </w:r>
          <w:r>
            <w:rPr>
              <w:color w:val="auto"/>
            </w:rPr>
            <w:tab/>
          </w:r>
          <w:r>
            <w:rPr>
              <w:color w:val="auto"/>
            </w:rPr>
            <w:fldChar w:fldCharType="begin"/>
          </w:r>
          <w:r>
            <w:rPr>
              <w:color w:val="auto"/>
            </w:rPr>
            <w:instrText xml:space="preserve"> PAGEREF _Toc15149 \h </w:instrText>
          </w:r>
          <w:r>
            <w:rPr>
              <w:color w:val="auto"/>
            </w:rPr>
            <w:fldChar w:fldCharType="separate"/>
          </w:r>
          <w:r>
            <w:rPr>
              <w:color w:val="auto"/>
            </w:rPr>
            <w:t>24</w:t>
          </w:r>
          <w:r>
            <w:rPr>
              <w:color w:val="auto"/>
            </w:rPr>
            <w:fldChar w:fldCharType="end"/>
          </w:r>
          <w:r>
            <w:rPr>
              <w:rFonts w:hint="default" w:ascii="Times New Roman" w:hAnsi="Times New Roman" w:eastAsia="宋体" w:cs="Times New Roman"/>
              <w:color w:val="auto"/>
              <w:szCs w:val="24"/>
            </w:rPr>
            <w:fldChar w:fldCharType="end"/>
          </w:r>
        </w:p>
        <w:p w14:paraId="45E46FF4">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_Toc29295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五、规划目标</w:t>
          </w:r>
          <w:r>
            <w:rPr>
              <w:color w:val="auto"/>
            </w:rPr>
            <w:tab/>
          </w:r>
          <w:r>
            <w:rPr>
              <w:color w:val="auto"/>
            </w:rPr>
            <w:fldChar w:fldCharType="begin"/>
          </w:r>
          <w:r>
            <w:rPr>
              <w:color w:val="auto"/>
            </w:rPr>
            <w:instrText xml:space="preserve"> PAGEREF _Toc29295 \h </w:instrText>
          </w:r>
          <w:r>
            <w:rPr>
              <w:color w:val="auto"/>
            </w:rPr>
            <w:fldChar w:fldCharType="separate"/>
          </w:r>
          <w:r>
            <w:rPr>
              <w:color w:val="auto"/>
            </w:rPr>
            <w:t>24</w:t>
          </w:r>
          <w:r>
            <w:rPr>
              <w:color w:val="auto"/>
            </w:rPr>
            <w:fldChar w:fldCharType="end"/>
          </w:r>
          <w:r>
            <w:rPr>
              <w:rFonts w:hint="default" w:ascii="Times New Roman" w:hAnsi="Times New Roman" w:eastAsia="宋体" w:cs="Times New Roman"/>
              <w:color w:val="auto"/>
              <w:szCs w:val="24"/>
            </w:rPr>
            <w:fldChar w:fldCharType="end"/>
          </w:r>
        </w:p>
        <w:p w14:paraId="01E0B248">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_Toc17876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六、规划任务</w:t>
          </w:r>
          <w:r>
            <w:rPr>
              <w:color w:val="auto"/>
            </w:rPr>
            <w:tab/>
          </w:r>
          <w:r>
            <w:rPr>
              <w:color w:val="auto"/>
            </w:rPr>
            <w:fldChar w:fldCharType="begin"/>
          </w:r>
          <w:r>
            <w:rPr>
              <w:color w:val="auto"/>
            </w:rPr>
            <w:instrText xml:space="preserve"> PAGEREF _Toc17876 \h </w:instrText>
          </w:r>
          <w:r>
            <w:rPr>
              <w:color w:val="auto"/>
            </w:rPr>
            <w:fldChar w:fldCharType="separate"/>
          </w:r>
          <w:r>
            <w:rPr>
              <w:color w:val="auto"/>
            </w:rPr>
            <w:t>26</w:t>
          </w:r>
          <w:r>
            <w:rPr>
              <w:color w:val="auto"/>
            </w:rPr>
            <w:fldChar w:fldCharType="end"/>
          </w:r>
          <w:r>
            <w:rPr>
              <w:rFonts w:hint="default" w:ascii="Times New Roman" w:hAnsi="Times New Roman" w:eastAsia="宋体" w:cs="Times New Roman"/>
              <w:color w:val="auto"/>
              <w:szCs w:val="24"/>
            </w:rPr>
            <w:fldChar w:fldCharType="end"/>
          </w:r>
        </w:p>
        <w:p w14:paraId="0576E0C0">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_Toc8788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第四章 水土流失预防</w:t>
          </w:r>
          <w:r>
            <w:rPr>
              <w:color w:val="auto"/>
            </w:rPr>
            <w:tab/>
          </w:r>
          <w:r>
            <w:rPr>
              <w:color w:val="auto"/>
            </w:rPr>
            <w:fldChar w:fldCharType="begin"/>
          </w:r>
          <w:r>
            <w:rPr>
              <w:color w:val="auto"/>
            </w:rPr>
            <w:instrText xml:space="preserve"> PAGEREF _Toc8788 \h </w:instrText>
          </w:r>
          <w:r>
            <w:rPr>
              <w:color w:val="auto"/>
            </w:rPr>
            <w:fldChar w:fldCharType="separate"/>
          </w:r>
          <w:r>
            <w:rPr>
              <w:color w:val="auto"/>
            </w:rPr>
            <w:t>31</w:t>
          </w:r>
          <w:r>
            <w:rPr>
              <w:color w:val="auto"/>
            </w:rPr>
            <w:fldChar w:fldCharType="end"/>
          </w:r>
          <w:r>
            <w:rPr>
              <w:rFonts w:hint="default" w:ascii="Times New Roman" w:hAnsi="Times New Roman" w:eastAsia="宋体" w:cs="Times New Roman"/>
              <w:color w:val="auto"/>
              <w:szCs w:val="24"/>
            </w:rPr>
            <w:fldChar w:fldCharType="end"/>
          </w:r>
        </w:p>
        <w:p w14:paraId="1CB31370">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_Toc566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一、预防范围</w:t>
          </w:r>
          <w:r>
            <w:rPr>
              <w:color w:val="auto"/>
            </w:rPr>
            <w:tab/>
          </w:r>
          <w:r>
            <w:rPr>
              <w:color w:val="auto"/>
            </w:rPr>
            <w:fldChar w:fldCharType="begin"/>
          </w:r>
          <w:r>
            <w:rPr>
              <w:color w:val="auto"/>
            </w:rPr>
            <w:instrText xml:space="preserve"> PAGEREF _Toc566 \h </w:instrText>
          </w:r>
          <w:r>
            <w:rPr>
              <w:color w:val="auto"/>
            </w:rPr>
            <w:fldChar w:fldCharType="separate"/>
          </w:r>
          <w:r>
            <w:rPr>
              <w:color w:val="auto"/>
            </w:rPr>
            <w:t>31</w:t>
          </w:r>
          <w:r>
            <w:rPr>
              <w:color w:val="auto"/>
            </w:rPr>
            <w:fldChar w:fldCharType="end"/>
          </w:r>
          <w:r>
            <w:rPr>
              <w:rFonts w:hint="default" w:ascii="Times New Roman" w:hAnsi="Times New Roman" w:eastAsia="宋体" w:cs="Times New Roman"/>
              <w:color w:val="auto"/>
              <w:szCs w:val="24"/>
            </w:rPr>
            <w:fldChar w:fldCharType="end"/>
          </w:r>
        </w:p>
        <w:p w14:paraId="5456F496">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_Toc22044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w:t>
          </w:r>
          <w:r>
            <w:rPr>
              <w:rFonts w:hint="default" w:ascii="黑体" w:hAnsi="黑体" w:eastAsia="黑体" w:cs="黑体"/>
              <w:color w:val="auto"/>
              <w:szCs w:val="32"/>
              <w:lang w:val="en-US" w:eastAsia="zh-CN"/>
            </w:rPr>
            <w:t>预防</w:t>
          </w:r>
          <w:r>
            <w:rPr>
              <w:rFonts w:hint="eastAsia" w:ascii="黑体" w:hAnsi="黑体" w:eastAsia="黑体" w:cs="黑体"/>
              <w:color w:val="auto"/>
              <w:szCs w:val="32"/>
              <w:lang w:val="en-US" w:eastAsia="zh-CN"/>
            </w:rPr>
            <w:t>对象</w:t>
          </w:r>
          <w:r>
            <w:rPr>
              <w:color w:val="auto"/>
            </w:rPr>
            <w:tab/>
          </w:r>
          <w:r>
            <w:rPr>
              <w:color w:val="auto"/>
            </w:rPr>
            <w:fldChar w:fldCharType="begin"/>
          </w:r>
          <w:r>
            <w:rPr>
              <w:color w:val="auto"/>
            </w:rPr>
            <w:instrText xml:space="preserve"> PAGEREF _Toc22044 \h </w:instrText>
          </w:r>
          <w:r>
            <w:rPr>
              <w:color w:val="auto"/>
            </w:rPr>
            <w:fldChar w:fldCharType="separate"/>
          </w:r>
          <w:r>
            <w:rPr>
              <w:color w:val="auto"/>
            </w:rPr>
            <w:t>32</w:t>
          </w:r>
          <w:r>
            <w:rPr>
              <w:color w:val="auto"/>
            </w:rPr>
            <w:fldChar w:fldCharType="end"/>
          </w:r>
          <w:r>
            <w:rPr>
              <w:rFonts w:hint="default" w:ascii="Times New Roman" w:hAnsi="Times New Roman" w:eastAsia="宋体" w:cs="Times New Roman"/>
              <w:color w:val="auto"/>
              <w:szCs w:val="24"/>
            </w:rPr>
            <w:fldChar w:fldCharType="end"/>
          </w:r>
        </w:p>
        <w:p w14:paraId="6CD6119A">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_Toc17589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三、措施体系</w:t>
          </w:r>
          <w:r>
            <w:rPr>
              <w:color w:val="auto"/>
            </w:rPr>
            <w:tab/>
          </w:r>
          <w:r>
            <w:rPr>
              <w:color w:val="auto"/>
            </w:rPr>
            <w:fldChar w:fldCharType="begin"/>
          </w:r>
          <w:r>
            <w:rPr>
              <w:color w:val="auto"/>
            </w:rPr>
            <w:instrText xml:space="preserve"> PAGEREF _Toc17589 \h </w:instrText>
          </w:r>
          <w:r>
            <w:rPr>
              <w:color w:val="auto"/>
            </w:rPr>
            <w:fldChar w:fldCharType="separate"/>
          </w:r>
          <w:r>
            <w:rPr>
              <w:color w:val="auto"/>
            </w:rPr>
            <w:t>33</w:t>
          </w:r>
          <w:r>
            <w:rPr>
              <w:color w:val="auto"/>
            </w:rPr>
            <w:fldChar w:fldCharType="end"/>
          </w:r>
          <w:r>
            <w:rPr>
              <w:rFonts w:hint="default" w:ascii="Times New Roman" w:hAnsi="Times New Roman" w:eastAsia="宋体" w:cs="Times New Roman"/>
              <w:color w:val="auto"/>
              <w:szCs w:val="24"/>
            </w:rPr>
            <w:fldChar w:fldCharType="end"/>
          </w:r>
        </w:p>
        <w:p w14:paraId="5DB095AE">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_Toc11068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四、预防任务</w:t>
          </w:r>
          <w:r>
            <w:rPr>
              <w:color w:val="auto"/>
            </w:rPr>
            <w:tab/>
          </w:r>
          <w:r>
            <w:rPr>
              <w:color w:val="auto"/>
            </w:rPr>
            <w:fldChar w:fldCharType="begin"/>
          </w:r>
          <w:r>
            <w:rPr>
              <w:color w:val="auto"/>
            </w:rPr>
            <w:instrText xml:space="preserve"> PAGEREF _Toc11068 \h </w:instrText>
          </w:r>
          <w:r>
            <w:rPr>
              <w:color w:val="auto"/>
            </w:rPr>
            <w:fldChar w:fldCharType="separate"/>
          </w:r>
          <w:r>
            <w:rPr>
              <w:color w:val="auto"/>
            </w:rPr>
            <w:t>34</w:t>
          </w:r>
          <w:r>
            <w:rPr>
              <w:color w:val="auto"/>
            </w:rPr>
            <w:fldChar w:fldCharType="end"/>
          </w:r>
          <w:r>
            <w:rPr>
              <w:rFonts w:hint="default" w:ascii="Times New Roman" w:hAnsi="Times New Roman" w:eastAsia="宋体" w:cs="Times New Roman"/>
              <w:color w:val="auto"/>
              <w:szCs w:val="24"/>
            </w:rPr>
            <w:fldChar w:fldCharType="end"/>
          </w:r>
        </w:p>
        <w:p w14:paraId="08E0659A">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_Toc19748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五、重点预防项目</w:t>
          </w:r>
          <w:r>
            <w:rPr>
              <w:color w:val="auto"/>
            </w:rPr>
            <w:tab/>
          </w:r>
          <w:r>
            <w:rPr>
              <w:color w:val="auto"/>
            </w:rPr>
            <w:fldChar w:fldCharType="begin"/>
          </w:r>
          <w:r>
            <w:rPr>
              <w:color w:val="auto"/>
            </w:rPr>
            <w:instrText xml:space="preserve"> PAGEREF _Toc19748 \h </w:instrText>
          </w:r>
          <w:r>
            <w:rPr>
              <w:color w:val="auto"/>
            </w:rPr>
            <w:fldChar w:fldCharType="separate"/>
          </w:r>
          <w:r>
            <w:rPr>
              <w:color w:val="auto"/>
            </w:rPr>
            <w:t>34</w:t>
          </w:r>
          <w:r>
            <w:rPr>
              <w:color w:val="auto"/>
            </w:rPr>
            <w:fldChar w:fldCharType="end"/>
          </w:r>
          <w:r>
            <w:rPr>
              <w:rFonts w:hint="default" w:ascii="Times New Roman" w:hAnsi="Times New Roman" w:eastAsia="宋体" w:cs="Times New Roman"/>
              <w:color w:val="auto"/>
              <w:szCs w:val="24"/>
            </w:rPr>
            <w:fldChar w:fldCharType="end"/>
          </w:r>
        </w:p>
        <w:p w14:paraId="27066A56">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_Toc24991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第五章</w:t>
          </w:r>
          <w:r>
            <w:rPr>
              <w:rFonts w:hint="default" w:ascii="方正小标宋_GBK" w:hAnsi="Times New Roman" w:eastAsia="方正小标宋_GBK" w:cs="Times New Roman"/>
              <w:bCs w:val="0"/>
              <w:color w:val="auto"/>
              <w:kern w:val="44"/>
              <w:szCs w:val="36"/>
              <w:lang w:val="en-US" w:eastAsia="zh-CN" w:bidi="ar-SA"/>
            </w:rPr>
            <w:t xml:space="preserve"> 水土流失</w:t>
          </w:r>
          <w:r>
            <w:rPr>
              <w:rFonts w:hint="eastAsia" w:ascii="方正小标宋_GBK" w:hAnsi="Times New Roman" w:eastAsia="方正小标宋_GBK" w:cs="Times New Roman"/>
              <w:bCs w:val="0"/>
              <w:color w:val="auto"/>
              <w:kern w:val="44"/>
              <w:szCs w:val="36"/>
              <w:lang w:val="en-US" w:eastAsia="zh-CN" w:bidi="ar-SA"/>
            </w:rPr>
            <w:t>治理</w:t>
          </w:r>
          <w:r>
            <w:rPr>
              <w:color w:val="auto"/>
            </w:rPr>
            <w:tab/>
          </w:r>
          <w:r>
            <w:rPr>
              <w:color w:val="auto"/>
            </w:rPr>
            <w:fldChar w:fldCharType="begin"/>
          </w:r>
          <w:r>
            <w:rPr>
              <w:color w:val="auto"/>
            </w:rPr>
            <w:instrText xml:space="preserve"> PAGEREF _Toc24991 \h </w:instrText>
          </w:r>
          <w:r>
            <w:rPr>
              <w:color w:val="auto"/>
            </w:rPr>
            <w:fldChar w:fldCharType="separate"/>
          </w:r>
          <w:r>
            <w:rPr>
              <w:color w:val="auto"/>
            </w:rPr>
            <w:t>38</w:t>
          </w:r>
          <w:r>
            <w:rPr>
              <w:color w:val="auto"/>
            </w:rPr>
            <w:fldChar w:fldCharType="end"/>
          </w:r>
          <w:r>
            <w:rPr>
              <w:rFonts w:hint="default" w:ascii="Times New Roman" w:hAnsi="Times New Roman" w:eastAsia="宋体" w:cs="Times New Roman"/>
              <w:color w:val="auto"/>
              <w:szCs w:val="24"/>
            </w:rPr>
            <w:fldChar w:fldCharType="end"/>
          </w:r>
        </w:p>
        <w:p w14:paraId="2904B301">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_Toc1413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一、治理范围</w:t>
          </w:r>
          <w:r>
            <w:rPr>
              <w:color w:val="auto"/>
            </w:rPr>
            <w:tab/>
          </w:r>
          <w:r>
            <w:rPr>
              <w:color w:val="auto"/>
            </w:rPr>
            <w:fldChar w:fldCharType="begin"/>
          </w:r>
          <w:r>
            <w:rPr>
              <w:color w:val="auto"/>
            </w:rPr>
            <w:instrText xml:space="preserve"> PAGEREF _Toc1413 \h </w:instrText>
          </w:r>
          <w:r>
            <w:rPr>
              <w:color w:val="auto"/>
            </w:rPr>
            <w:fldChar w:fldCharType="separate"/>
          </w:r>
          <w:r>
            <w:rPr>
              <w:color w:val="auto"/>
            </w:rPr>
            <w:t>38</w:t>
          </w:r>
          <w:r>
            <w:rPr>
              <w:color w:val="auto"/>
            </w:rPr>
            <w:fldChar w:fldCharType="end"/>
          </w:r>
          <w:r>
            <w:rPr>
              <w:rFonts w:hint="default" w:ascii="Times New Roman" w:hAnsi="Times New Roman" w:eastAsia="宋体" w:cs="Times New Roman"/>
              <w:color w:val="auto"/>
              <w:szCs w:val="24"/>
            </w:rPr>
            <w:fldChar w:fldCharType="end"/>
          </w:r>
        </w:p>
        <w:p w14:paraId="5D950BD5">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_Toc17921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二、治理对象</w:t>
          </w:r>
          <w:r>
            <w:rPr>
              <w:color w:val="auto"/>
            </w:rPr>
            <w:tab/>
          </w:r>
          <w:r>
            <w:rPr>
              <w:color w:val="auto"/>
            </w:rPr>
            <w:fldChar w:fldCharType="begin"/>
          </w:r>
          <w:r>
            <w:rPr>
              <w:color w:val="auto"/>
            </w:rPr>
            <w:instrText xml:space="preserve"> PAGEREF _Toc17921 \h </w:instrText>
          </w:r>
          <w:r>
            <w:rPr>
              <w:color w:val="auto"/>
            </w:rPr>
            <w:fldChar w:fldCharType="separate"/>
          </w:r>
          <w:r>
            <w:rPr>
              <w:color w:val="auto"/>
            </w:rPr>
            <w:t>39</w:t>
          </w:r>
          <w:r>
            <w:rPr>
              <w:color w:val="auto"/>
            </w:rPr>
            <w:fldChar w:fldCharType="end"/>
          </w:r>
          <w:r>
            <w:rPr>
              <w:rFonts w:hint="default" w:ascii="Times New Roman" w:hAnsi="Times New Roman" w:eastAsia="宋体" w:cs="Times New Roman"/>
              <w:color w:val="auto"/>
              <w:szCs w:val="24"/>
            </w:rPr>
            <w:fldChar w:fldCharType="end"/>
          </w:r>
        </w:p>
        <w:p w14:paraId="5BAF6FF0">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_Toc20341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三、措施体系</w:t>
          </w:r>
          <w:r>
            <w:rPr>
              <w:color w:val="auto"/>
            </w:rPr>
            <w:tab/>
          </w:r>
          <w:r>
            <w:rPr>
              <w:color w:val="auto"/>
            </w:rPr>
            <w:fldChar w:fldCharType="begin"/>
          </w:r>
          <w:r>
            <w:rPr>
              <w:color w:val="auto"/>
            </w:rPr>
            <w:instrText xml:space="preserve"> PAGEREF _Toc20341 \h </w:instrText>
          </w:r>
          <w:r>
            <w:rPr>
              <w:color w:val="auto"/>
            </w:rPr>
            <w:fldChar w:fldCharType="separate"/>
          </w:r>
          <w:r>
            <w:rPr>
              <w:color w:val="auto"/>
            </w:rPr>
            <w:t>39</w:t>
          </w:r>
          <w:r>
            <w:rPr>
              <w:color w:val="auto"/>
            </w:rPr>
            <w:fldChar w:fldCharType="end"/>
          </w:r>
          <w:r>
            <w:rPr>
              <w:rFonts w:hint="default" w:ascii="Times New Roman" w:hAnsi="Times New Roman" w:eastAsia="宋体" w:cs="Times New Roman"/>
              <w:color w:val="auto"/>
              <w:szCs w:val="24"/>
            </w:rPr>
            <w:fldChar w:fldCharType="end"/>
          </w:r>
        </w:p>
        <w:p w14:paraId="0978A6CE">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_Toc9232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四、治理任务</w:t>
          </w:r>
          <w:r>
            <w:rPr>
              <w:color w:val="auto"/>
            </w:rPr>
            <w:tab/>
          </w:r>
          <w:r>
            <w:rPr>
              <w:color w:val="auto"/>
            </w:rPr>
            <w:fldChar w:fldCharType="begin"/>
          </w:r>
          <w:r>
            <w:rPr>
              <w:color w:val="auto"/>
            </w:rPr>
            <w:instrText xml:space="preserve"> PAGEREF _Toc9232 \h </w:instrText>
          </w:r>
          <w:r>
            <w:rPr>
              <w:color w:val="auto"/>
            </w:rPr>
            <w:fldChar w:fldCharType="separate"/>
          </w:r>
          <w:r>
            <w:rPr>
              <w:color w:val="auto"/>
            </w:rPr>
            <w:t>41</w:t>
          </w:r>
          <w:r>
            <w:rPr>
              <w:color w:val="auto"/>
            </w:rPr>
            <w:fldChar w:fldCharType="end"/>
          </w:r>
          <w:r>
            <w:rPr>
              <w:rFonts w:hint="default" w:ascii="Times New Roman" w:hAnsi="Times New Roman" w:eastAsia="宋体" w:cs="Times New Roman"/>
              <w:color w:val="auto"/>
              <w:szCs w:val="24"/>
            </w:rPr>
            <w:fldChar w:fldCharType="end"/>
          </w:r>
        </w:p>
        <w:p w14:paraId="71A05BEC">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_Toc7755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五、重点治理项目</w:t>
          </w:r>
          <w:r>
            <w:rPr>
              <w:color w:val="auto"/>
            </w:rPr>
            <w:tab/>
          </w:r>
          <w:r>
            <w:rPr>
              <w:color w:val="auto"/>
            </w:rPr>
            <w:fldChar w:fldCharType="begin"/>
          </w:r>
          <w:r>
            <w:rPr>
              <w:color w:val="auto"/>
            </w:rPr>
            <w:instrText xml:space="preserve"> PAGEREF _Toc7755 \h </w:instrText>
          </w:r>
          <w:r>
            <w:rPr>
              <w:color w:val="auto"/>
            </w:rPr>
            <w:fldChar w:fldCharType="separate"/>
          </w:r>
          <w:r>
            <w:rPr>
              <w:color w:val="auto"/>
            </w:rPr>
            <w:t>42</w:t>
          </w:r>
          <w:r>
            <w:rPr>
              <w:color w:val="auto"/>
            </w:rPr>
            <w:fldChar w:fldCharType="end"/>
          </w:r>
          <w:r>
            <w:rPr>
              <w:rFonts w:hint="default" w:ascii="Times New Roman" w:hAnsi="Times New Roman" w:eastAsia="宋体" w:cs="Times New Roman"/>
              <w:color w:val="auto"/>
              <w:szCs w:val="24"/>
            </w:rPr>
            <w:fldChar w:fldCharType="end"/>
          </w:r>
        </w:p>
        <w:p w14:paraId="12E109EA">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_Toc9888 </w:instrText>
          </w:r>
          <w:r>
            <w:rPr>
              <w:rFonts w:hint="default" w:ascii="Times New Roman" w:hAnsi="Times New Roman" w:eastAsia="宋体" w:cs="Times New Roman"/>
              <w:color w:val="auto"/>
              <w:szCs w:val="24"/>
            </w:rPr>
            <w:fldChar w:fldCharType="separate"/>
          </w:r>
          <w:r>
            <w:rPr>
              <w:rFonts w:hint="default" w:ascii="Times New Roman" w:hAnsi="Times New Roman" w:eastAsia="黑体" w:cs="Times New Roman"/>
              <w:color w:val="auto"/>
              <w:szCs w:val="32"/>
              <w:lang w:val="en-US" w:eastAsia="zh-CN"/>
            </w:rPr>
            <w:t>六、项目安排</w:t>
          </w:r>
          <w:r>
            <w:rPr>
              <w:color w:val="auto"/>
            </w:rPr>
            <w:tab/>
          </w:r>
          <w:r>
            <w:rPr>
              <w:color w:val="auto"/>
            </w:rPr>
            <w:fldChar w:fldCharType="begin"/>
          </w:r>
          <w:r>
            <w:rPr>
              <w:color w:val="auto"/>
            </w:rPr>
            <w:instrText xml:space="preserve"> PAGEREF _Toc9888 \h </w:instrText>
          </w:r>
          <w:r>
            <w:rPr>
              <w:color w:val="auto"/>
            </w:rPr>
            <w:fldChar w:fldCharType="separate"/>
          </w:r>
          <w:r>
            <w:rPr>
              <w:color w:val="auto"/>
            </w:rPr>
            <w:t>46</w:t>
          </w:r>
          <w:r>
            <w:rPr>
              <w:color w:val="auto"/>
            </w:rPr>
            <w:fldChar w:fldCharType="end"/>
          </w:r>
          <w:r>
            <w:rPr>
              <w:rFonts w:hint="default" w:ascii="Times New Roman" w:hAnsi="Times New Roman" w:eastAsia="宋体" w:cs="Times New Roman"/>
              <w:color w:val="auto"/>
              <w:szCs w:val="24"/>
            </w:rPr>
            <w:fldChar w:fldCharType="end"/>
          </w:r>
        </w:p>
        <w:p w14:paraId="7AEAD140">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_Toc19200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第六章</w:t>
          </w:r>
          <w:r>
            <w:rPr>
              <w:rFonts w:hint="default" w:ascii="方正小标宋_GBK" w:hAnsi="Times New Roman" w:eastAsia="方正小标宋_GBK" w:cs="Times New Roman"/>
              <w:bCs w:val="0"/>
              <w:color w:val="auto"/>
              <w:kern w:val="44"/>
              <w:szCs w:val="36"/>
              <w:lang w:val="en-US" w:eastAsia="zh-CN" w:bidi="ar-SA"/>
            </w:rPr>
            <w:t xml:space="preserve"> 水土保持监督管理</w:t>
          </w:r>
          <w:r>
            <w:rPr>
              <w:color w:val="auto"/>
            </w:rPr>
            <w:tab/>
          </w:r>
          <w:r>
            <w:rPr>
              <w:color w:val="auto"/>
            </w:rPr>
            <w:fldChar w:fldCharType="begin"/>
          </w:r>
          <w:r>
            <w:rPr>
              <w:color w:val="auto"/>
            </w:rPr>
            <w:instrText xml:space="preserve"> PAGEREF _Toc19200 \h </w:instrText>
          </w:r>
          <w:r>
            <w:rPr>
              <w:color w:val="auto"/>
            </w:rPr>
            <w:fldChar w:fldCharType="separate"/>
          </w:r>
          <w:r>
            <w:rPr>
              <w:color w:val="auto"/>
            </w:rPr>
            <w:t>48</w:t>
          </w:r>
          <w:r>
            <w:rPr>
              <w:color w:val="auto"/>
            </w:rPr>
            <w:fldChar w:fldCharType="end"/>
          </w:r>
          <w:r>
            <w:rPr>
              <w:rFonts w:hint="default" w:ascii="Times New Roman" w:hAnsi="Times New Roman" w:eastAsia="宋体" w:cs="Times New Roman"/>
              <w:color w:val="auto"/>
              <w:szCs w:val="24"/>
            </w:rPr>
            <w:fldChar w:fldCharType="end"/>
          </w:r>
        </w:p>
        <w:p w14:paraId="69C8EA23">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_Toc32375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w:t>
          </w:r>
          <w:r>
            <w:rPr>
              <w:rFonts w:hint="default" w:ascii="黑体" w:hAnsi="黑体" w:eastAsia="黑体" w:cs="黑体"/>
              <w:color w:val="auto"/>
              <w:szCs w:val="32"/>
              <w:lang w:val="en-US" w:eastAsia="zh-CN"/>
            </w:rPr>
            <w:t>监管制度建设</w:t>
          </w:r>
          <w:r>
            <w:rPr>
              <w:color w:val="auto"/>
            </w:rPr>
            <w:tab/>
          </w:r>
          <w:r>
            <w:rPr>
              <w:color w:val="auto"/>
            </w:rPr>
            <w:fldChar w:fldCharType="begin"/>
          </w:r>
          <w:r>
            <w:rPr>
              <w:color w:val="auto"/>
            </w:rPr>
            <w:instrText xml:space="preserve"> PAGEREF _Toc32375 \h </w:instrText>
          </w:r>
          <w:r>
            <w:rPr>
              <w:color w:val="auto"/>
            </w:rPr>
            <w:fldChar w:fldCharType="separate"/>
          </w:r>
          <w:r>
            <w:rPr>
              <w:color w:val="auto"/>
            </w:rPr>
            <w:t>48</w:t>
          </w:r>
          <w:r>
            <w:rPr>
              <w:color w:val="auto"/>
            </w:rPr>
            <w:fldChar w:fldCharType="end"/>
          </w:r>
          <w:r>
            <w:rPr>
              <w:rFonts w:hint="default" w:ascii="Times New Roman" w:hAnsi="Times New Roman" w:eastAsia="宋体" w:cs="Times New Roman"/>
              <w:color w:val="auto"/>
              <w:szCs w:val="24"/>
            </w:rPr>
            <w:fldChar w:fldCharType="end"/>
          </w:r>
        </w:p>
        <w:p w14:paraId="00FCBC06">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_Toc14404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w:t>
          </w:r>
          <w:r>
            <w:rPr>
              <w:rFonts w:hint="default" w:ascii="黑体" w:hAnsi="黑体" w:eastAsia="黑体" w:cs="黑体"/>
              <w:color w:val="auto"/>
              <w:szCs w:val="32"/>
              <w:lang w:val="en-US" w:eastAsia="zh-CN"/>
            </w:rPr>
            <w:t>监管机制</w:t>
          </w:r>
          <w:r>
            <w:rPr>
              <w:rFonts w:hint="eastAsia" w:ascii="黑体" w:hAnsi="黑体" w:eastAsia="黑体" w:cs="黑体"/>
              <w:color w:val="auto"/>
              <w:szCs w:val="32"/>
              <w:lang w:val="en-US" w:eastAsia="zh-CN"/>
            </w:rPr>
            <w:t>建立</w:t>
          </w:r>
          <w:r>
            <w:rPr>
              <w:color w:val="auto"/>
            </w:rPr>
            <w:tab/>
          </w:r>
          <w:r>
            <w:rPr>
              <w:color w:val="auto"/>
            </w:rPr>
            <w:fldChar w:fldCharType="begin"/>
          </w:r>
          <w:r>
            <w:rPr>
              <w:color w:val="auto"/>
            </w:rPr>
            <w:instrText xml:space="preserve"> PAGEREF _Toc14404 \h </w:instrText>
          </w:r>
          <w:r>
            <w:rPr>
              <w:color w:val="auto"/>
            </w:rPr>
            <w:fldChar w:fldCharType="separate"/>
          </w:r>
          <w:r>
            <w:rPr>
              <w:color w:val="auto"/>
            </w:rPr>
            <w:t>52</w:t>
          </w:r>
          <w:r>
            <w:rPr>
              <w:color w:val="auto"/>
            </w:rPr>
            <w:fldChar w:fldCharType="end"/>
          </w:r>
          <w:r>
            <w:rPr>
              <w:rFonts w:hint="default" w:ascii="Times New Roman" w:hAnsi="Times New Roman" w:eastAsia="宋体" w:cs="Times New Roman"/>
              <w:color w:val="auto"/>
              <w:szCs w:val="24"/>
            </w:rPr>
            <w:fldChar w:fldCharType="end"/>
          </w:r>
        </w:p>
        <w:p w14:paraId="13F62491">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_Toc11383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三、重点</w:t>
          </w:r>
          <w:r>
            <w:rPr>
              <w:rFonts w:hint="default" w:ascii="黑体" w:hAnsi="黑体" w:eastAsia="黑体" w:cs="黑体"/>
              <w:color w:val="auto"/>
              <w:szCs w:val="32"/>
              <w:lang w:val="en-US" w:eastAsia="zh-CN"/>
            </w:rPr>
            <w:t>监</w:t>
          </w:r>
          <w:r>
            <w:rPr>
              <w:rFonts w:hint="eastAsia" w:ascii="黑体" w:hAnsi="黑体" w:eastAsia="黑体" w:cs="黑体"/>
              <w:color w:val="auto"/>
              <w:szCs w:val="32"/>
              <w:lang w:val="en-US" w:eastAsia="zh-CN"/>
            </w:rPr>
            <w:t>管任务</w:t>
          </w:r>
          <w:r>
            <w:rPr>
              <w:color w:val="auto"/>
            </w:rPr>
            <w:tab/>
          </w:r>
          <w:r>
            <w:rPr>
              <w:color w:val="auto"/>
            </w:rPr>
            <w:fldChar w:fldCharType="begin"/>
          </w:r>
          <w:r>
            <w:rPr>
              <w:color w:val="auto"/>
            </w:rPr>
            <w:instrText xml:space="preserve"> PAGEREF _Toc11383 \h </w:instrText>
          </w:r>
          <w:r>
            <w:rPr>
              <w:color w:val="auto"/>
            </w:rPr>
            <w:fldChar w:fldCharType="separate"/>
          </w:r>
          <w:r>
            <w:rPr>
              <w:color w:val="auto"/>
            </w:rPr>
            <w:t>53</w:t>
          </w:r>
          <w:r>
            <w:rPr>
              <w:color w:val="auto"/>
            </w:rPr>
            <w:fldChar w:fldCharType="end"/>
          </w:r>
          <w:r>
            <w:rPr>
              <w:rFonts w:hint="default" w:ascii="Times New Roman" w:hAnsi="Times New Roman" w:eastAsia="宋体" w:cs="Times New Roman"/>
              <w:color w:val="auto"/>
              <w:szCs w:val="24"/>
            </w:rPr>
            <w:fldChar w:fldCharType="end"/>
          </w:r>
        </w:p>
        <w:p w14:paraId="6D59CB2A">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_Toc20605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第七章</w:t>
          </w:r>
          <w:r>
            <w:rPr>
              <w:rFonts w:hint="default" w:ascii="方正小标宋_GBK" w:hAnsi="Times New Roman" w:eastAsia="方正小标宋_GBK" w:cs="Times New Roman"/>
              <w:bCs w:val="0"/>
              <w:color w:val="auto"/>
              <w:kern w:val="44"/>
              <w:szCs w:val="36"/>
              <w:lang w:val="en-US" w:eastAsia="zh-CN" w:bidi="ar-SA"/>
            </w:rPr>
            <w:t xml:space="preserve"> 水土保持监测</w:t>
          </w:r>
          <w:r>
            <w:rPr>
              <w:color w:val="auto"/>
            </w:rPr>
            <w:tab/>
          </w:r>
          <w:r>
            <w:rPr>
              <w:color w:val="auto"/>
            </w:rPr>
            <w:fldChar w:fldCharType="begin"/>
          </w:r>
          <w:r>
            <w:rPr>
              <w:color w:val="auto"/>
            </w:rPr>
            <w:instrText xml:space="preserve"> PAGEREF _Toc20605 \h </w:instrText>
          </w:r>
          <w:r>
            <w:rPr>
              <w:color w:val="auto"/>
            </w:rPr>
            <w:fldChar w:fldCharType="separate"/>
          </w:r>
          <w:r>
            <w:rPr>
              <w:color w:val="auto"/>
            </w:rPr>
            <w:t>57</w:t>
          </w:r>
          <w:r>
            <w:rPr>
              <w:color w:val="auto"/>
            </w:rPr>
            <w:fldChar w:fldCharType="end"/>
          </w:r>
          <w:r>
            <w:rPr>
              <w:rFonts w:hint="default" w:ascii="Times New Roman" w:hAnsi="Times New Roman" w:eastAsia="宋体" w:cs="Times New Roman"/>
              <w:color w:val="auto"/>
              <w:szCs w:val="24"/>
            </w:rPr>
            <w:fldChar w:fldCharType="end"/>
          </w:r>
        </w:p>
        <w:p w14:paraId="5EAC1A4B">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_Toc29243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一、监测网络建设</w:t>
          </w:r>
          <w:r>
            <w:rPr>
              <w:color w:val="auto"/>
            </w:rPr>
            <w:tab/>
          </w:r>
          <w:r>
            <w:rPr>
              <w:color w:val="auto"/>
            </w:rPr>
            <w:fldChar w:fldCharType="begin"/>
          </w:r>
          <w:r>
            <w:rPr>
              <w:color w:val="auto"/>
            </w:rPr>
            <w:instrText xml:space="preserve"> PAGEREF _Toc29243 \h </w:instrText>
          </w:r>
          <w:r>
            <w:rPr>
              <w:color w:val="auto"/>
            </w:rPr>
            <w:fldChar w:fldCharType="separate"/>
          </w:r>
          <w:r>
            <w:rPr>
              <w:color w:val="auto"/>
            </w:rPr>
            <w:t>57</w:t>
          </w:r>
          <w:r>
            <w:rPr>
              <w:color w:val="auto"/>
            </w:rPr>
            <w:fldChar w:fldCharType="end"/>
          </w:r>
          <w:r>
            <w:rPr>
              <w:rFonts w:hint="default" w:ascii="Times New Roman" w:hAnsi="Times New Roman" w:eastAsia="宋体" w:cs="Times New Roman"/>
              <w:color w:val="auto"/>
              <w:szCs w:val="24"/>
            </w:rPr>
            <w:fldChar w:fldCharType="end"/>
          </w:r>
        </w:p>
        <w:p w14:paraId="60FDBA09">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_Toc29826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二、监测站网管理</w:t>
          </w:r>
          <w:r>
            <w:rPr>
              <w:color w:val="auto"/>
            </w:rPr>
            <w:tab/>
          </w:r>
          <w:r>
            <w:rPr>
              <w:color w:val="auto"/>
            </w:rPr>
            <w:fldChar w:fldCharType="begin"/>
          </w:r>
          <w:r>
            <w:rPr>
              <w:color w:val="auto"/>
            </w:rPr>
            <w:instrText xml:space="preserve"> PAGEREF _Toc29826 \h </w:instrText>
          </w:r>
          <w:r>
            <w:rPr>
              <w:color w:val="auto"/>
            </w:rPr>
            <w:fldChar w:fldCharType="separate"/>
          </w:r>
          <w:r>
            <w:rPr>
              <w:color w:val="auto"/>
            </w:rPr>
            <w:t>58</w:t>
          </w:r>
          <w:r>
            <w:rPr>
              <w:color w:val="auto"/>
            </w:rPr>
            <w:fldChar w:fldCharType="end"/>
          </w:r>
          <w:r>
            <w:rPr>
              <w:rFonts w:hint="default" w:ascii="Times New Roman" w:hAnsi="Times New Roman" w:eastAsia="宋体" w:cs="Times New Roman"/>
              <w:color w:val="auto"/>
              <w:szCs w:val="24"/>
            </w:rPr>
            <w:fldChar w:fldCharType="end"/>
          </w:r>
        </w:p>
        <w:p w14:paraId="18304359">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_Toc17495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三、</w:t>
          </w:r>
          <w:r>
            <w:rPr>
              <w:rFonts w:hint="default" w:ascii="黑体" w:hAnsi="黑体" w:eastAsia="黑体" w:cs="黑体"/>
              <w:color w:val="auto"/>
              <w:szCs w:val="32"/>
              <w:lang w:val="en-US" w:eastAsia="zh-CN"/>
            </w:rPr>
            <w:t>水土保持</w:t>
          </w:r>
          <w:r>
            <w:rPr>
              <w:rFonts w:hint="eastAsia" w:ascii="黑体" w:hAnsi="黑体" w:eastAsia="黑体" w:cs="黑体"/>
              <w:color w:val="auto"/>
              <w:szCs w:val="32"/>
              <w:lang w:val="en-US" w:eastAsia="zh-CN"/>
            </w:rPr>
            <w:t>调查</w:t>
          </w:r>
          <w:r>
            <w:rPr>
              <w:color w:val="auto"/>
            </w:rPr>
            <w:tab/>
          </w:r>
          <w:r>
            <w:rPr>
              <w:color w:val="auto"/>
            </w:rPr>
            <w:fldChar w:fldCharType="begin"/>
          </w:r>
          <w:r>
            <w:rPr>
              <w:color w:val="auto"/>
            </w:rPr>
            <w:instrText xml:space="preserve"> PAGEREF _Toc17495 \h </w:instrText>
          </w:r>
          <w:r>
            <w:rPr>
              <w:color w:val="auto"/>
            </w:rPr>
            <w:fldChar w:fldCharType="separate"/>
          </w:r>
          <w:r>
            <w:rPr>
              <w:color w:val="auto"/>
            </w:rPr>
            <w:t>59</w:t>
          </w:r>
          <w:r>
            <w:rPr>
              <w:color w:val="auto"/>
            </w:rPr>
            <w:fldChar w:fldCharType="end"/>
          </w:r>
          <w:r>
            <w:rPr>
              <w:rFonts w:hint="default" w:ascii="Times New Roman" w:hAnsi="Times New Roman" w:eastAsia="宋体" w:cs="Times New Roman"/>
              <w:color w:val="auto"/>
              <w:szCs w:val="24"/>
            </w:rPr>
            <w:fldChar w:fldCharType="end"/>
          </w:r>
        </w:p>
        <w:p w14:paraId="7BA4EA11">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_Toc26951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四、</w:t>
          </w:r>
          <w:r>
            <w:rPr>
              <w:rFonts w:hint="default" w:ascii="黑体" w:hAnsi="黑体" w:eastAsia="黑体" w:cs="黑体"/>
              <w:color w:val="auto"/>
              <w:szCs w:val="32"/>
              <w:lang w:val="en-US" w:eastAsia="zh-CN"/>
            </w:rPr>
            <w:t>水土流失动态监测与公告</w:t>
          </w:r>
          <w:r>
            <w:rPr>
              <w:color w:val="auto"/>
            </w:rPr>
            <w:tab/>
          </w:r>
          <w:r>
            <w:rPr>
              <w:color w:val="auto"/>
            </w:rPr>
            <w:fldChar w:fldCharType="begin"/>
          </w:r>
          <w:r>
            <w:rPr>
              <w:color w:val="auto"/>
            </w:rPr>
            <w:instrText xml:space="preserve"> PAGEREF _Toc26951 \h </w:instrText>
          </w:r>
          <w:r>
            <w:rPr>
              <w:color w:val="auto"/>
            </w:rPr>
            <w:fldChar w:fldCharType="separate"/>
          </w:r>
          <w:r>
            <w:rPr>
              <w:color w:val="auto"/>
            </w:rPr>
            <w:t>59</w:t>
          </w:r>
          <w:r>
            <w:rPr>
              <w:color w:val="auto"/>
            </w:rPr>
            <w:fldChar w:fldCharType="end"/>
          </w:r>
          <w:r>
            <w:rPr>
              <w:rFonts w:hint="default" w:ascii="Times New Roman" w:hAnsi="Times New Roman" w:eastAsia="宋体" w:cs="Times New Roman"/>
              <w:color w:val="auto"/>
              <w:szCs w:val="24"/>
            </w:rPr>
            <w:fldChar w:fldCharType="end"/>
          </w:r>
        </w:p>
        <w:p w14:paraId="1D98599D">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_Toc13277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五、重点区域监测</w:t>
          </w:r>
          <w:r>
            <w:rPr>
              <w:color w:val="auto"/>
            </w:rPr>
            <w:tab/>
          </w:r>
          <w:r>
            <w:rPr>
              <w:color w:val="auto"/>
            </w:rPr>
            <w:fldChar w:fldCharType="begin"/>
          </w:r>
          <w:r>
            <w:rPr>
              <w:color w:val="auto"/>
            </w:rPr>
            <w:instrText xml:space="preserve"> PAGEREF _Toc13277 \h </w:instrText>
          </w:r>
          <w:r>
            <w:rPr>
              <w:color w:val="auto"/>
            </w:rPr>
            <w:fldChar w:fldCharType="separate"/>
          </w:r>
          <w:r>
            <w:rPr>
              <w:color w:val="auto"/>
            </w:rPr>
            <w:t>60</w:t>
          </w:r>
          <w:r>
            <w:rPr>
              <w:color w:val="auto"/>
            </w:rPr>
            <w:fldChar w:fldCharType="end"/>
          </w:r>
          <w:r>
            <w:rPr>
              <w:rFonts w:hint="default" w:ascii="Times New Roman" w:hAnsi="Times New Roman" w:eastAsia="宋体" w:cs="Times New Roman"/>
              <w:color w:val="auto"/>
              <w:szCs w:val="24"/>
            </w:rPr>
            <w:fldChar w:fldCharType="end"/>
          </w:r>
        </w:p>
        <w:p w14:paraId="22255576">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_Toc986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六、国家水土保持重点工程监测</w:t>
          </w:r>
          <w:r>
            <w:rPr>
              <w:color w:val="auto"/>
            </w:rPr>
            <w:tab/>
          </w:r>
          <w:r>
            <w:rPr>
              <w:color w:val="auto"/>
            </w:rPr>
            <w:fldChar w:fldCharType="begin"/>
          </w:r>
          <w:r>
            <w:rPr>
              <w:color w:val="auto"/>
            </w:rPr>
            <w:instrText xml:space="preserve"> PAGEREF _Toc986 \h </w:instrText>
          </w:r>
          <w:r>
            <w:rPr>
              <w:color w:val="auto"/>
            </w:rPr>
            <w:fldChar w:fldCharType="separate"/>
          </w:r>
          <w:r>
            <w:rPr>
              <w:color w:val="auto"/>
            </w:rPr>
            <w:t>60</w:t>
          </w:r>
          <w:r>
            <w:rPr>
              <w:color w:val="auto"/>
            </w:rPr>
            <w:fldChar w:fldCharType="end"/>
          </w:r>
          <w:r>
            <w:rPr>
              <w:rFonts w:hint="default" w:ascii="Times New Roman" w:hAnsi="Times New Roman" w:eastAsia="宋体" w:cs="Times New Roman"/>
              <w:color w:val="auto"/>
              <w:szCs w:val="24"/>
            </w:rPr>
            <w:fldChar w:fldCharType="end"/>
          </w:r>
        </w:p>
        <w:p w14:paraId="1ACA0BF8">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_Toc12506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七、生产建设项目监测</w:t>
          </w:r>
          <w:r>
            <w:rPr>
              <w:color w:val="auto"/>
            </w:rPr>
            <w:tab/>
          </w:r>
          <w:r>
            <w:rPr>
              <w:color w:val="auto"/>
            </w:rPr>
            <w:fldChar w:fldCharType="begin"/>
          </w:r>
          <w:r>
            <w:rPr>
              <w:color w:val="auto"/>
            </w:rPr>
            <w:instrText xml:space="preserve"> PAGEREF _Toc12506 \h </w:instrText>
          </w:r>
          <w:r>
            <w:rPr>
              <w:color w:val="auto"/>
            </w:rPr>
            <w:fldChar w:fldCharType="separate"/>
          </w:r>
          <w:r>
            <w:rPr>
              <w:color w:val="auto"/>
            </w:rPr>
            <w:t>61</w:t>
          </w:r>
          <w:r>
            <w:rPr>
              <w:color w:val="auto"/>
            </w:rPr>
            <w:fldChar w:fldCharType="end"/>
          </w:r>
          <w:r>
            <w:rPr>
              <w:rFonts w:hint="default" w:ascii="Times New Roman" w:hAnsi="Times New Roman" w:eastAsia="宋体" w:cs="Times New Roman"/>
              <w:color w:val="auto"/>
              <w:szCs w:val="24"/>
            </w:rPr>
            <w:fldChar w:fldCharType="end"/>
          </w:r>
        </w:p>
        <w:p w14:paraId="32984094">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_Toc3681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八、</w:t>
          </w:r>
          <w:r>
            <w:rPr>
              <w:rFonts w:hint="default" w:ascii="黑体" w:hAnsi="黑体" w:eastAsia="黑体" w:cs="黑体"/>
              <w:color w:val="auto"/>
              <w:szCs w:val="32"/>
              <w:lang w:val="en-US" w:eastAsia="zh-CN"/>
            </w:rPr>
            <w:t>应急和案件查处监测</w:t>
          </w:r>
          <w:r>
            <w:rPr>
              <w:color w:val="auto"/>
            </w:rPr>
            <w:tab/>
          </w:r>
          <w:r>
            <w:rPr>
              <w:color w:val="auto"/>
            </w:rPr>
            <w:fldChar w:fldCharType="begin"/>
          </w:r>
          <w:r>
            <w:rPr>
              <w:color w:val="auto"/>
            </w:rPr>
            <w:instrText xml:space="preserve"> PAGEREF _Toc3681 \h </w:instrText>
          </w:r>
          <w:r>
            <w:rPr>
              <w:color w:val="auto"/>
            </w:rPr>
            <w:fldChar w:fldCharType="separate"/>
          </w:r>
          <w:r>
            <w:rPr>
              <w:color w:val="auto"/>
            </w:rPr>
            <w:t>61</w:t>
          </w:r>
          <w:r>
            <w:rPr>
              <w:color w:val="auto"/>
            </w:rPr>
            <w:fldChar w:fldCharType="end"/>
          </w:r>
          <w:r>
            <w:rPr>
              <w:rFonts w:hint="default" w:ascii="Times New Roman" w:hAnsi="Times New Roman" w:eastAsia="宋体" w:cs="Times New Roman"/>
              <w:color w:val="auto"/>
              <w:szCs w:val="24"/>
            </w:rPr>
            <w:fldChar w:fldCharType="end"/>
          </w:r>
        </w:p>
        <w:p w14:paraId="4862BC0E">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_Toc21989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九、重点监测任务</w:t>
          </w:r>
          <w:r>
            <w:rPr>
              <w:color w:val="auto"/>
            </w:rPr>
            <w:tab/>
          </w:r>
          <w:r>
            <w:rPr>
              <w:color w:val="auto"/>
            </w:rPr>
            <w:fldChar w:fldCharType="begin"/>
          </w:r>
          <w:r>
            <w:rPr>
              <w:color w:val="auto"/>
            </w:rPr>
            <w:instrText xml:space="preserve"> PAGEREF _Toc21989 \h </w:instrText>
          </w:r>
          <w:r>
            <w:rPr>
              <w:color w:val="auto"/>
            </w:rPr>
            <w:fldChar w:fldCharType="separate"/>
          </w:r>
          <w:r>
            <w:rPr>
              <w:color w:val="auto"/>
            </w:rPr>
            <w:t>62</w:t>
          </w:r>
          <w:r>
            <w:rPr>
              <w:color w:val="auto"/>
            </w:rPr>
            <w:fldChar w:fldCharType="end"/>
          </w:r>
          <w:r>
            <w:rPr>
              <w:rFonts w:hint="default" w:ascii="Times New Roman" w:hAnsi="Times New Roman" w:eastAsia="宋体" w:cs="Times New Roman"/>
              <w:color w:val="auto"/>
              <w:szCs w:val="24"/>
            </w:rPr>
            <w:fldChar w:fldCharType="end"/>
          </w:r>
        </w:p>
        <w:p w14:paraId="45C48AD8">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_Toc30205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第八章</w:t>
          </w:r>
          <w:r>
            <w:rPr>
              <w:rFonts w:hint="default" w:ascii="方正小标宋_GBK" w:hAnsi="Times New Roman" w:eastAsia="方正小标宋_GBK" w:cs="Times New Roman"/>
              <w:bCs w:val="0"/>
              <w:color w:val="auto"/>
              <w:kern w:val="44"/>
              <w:szCs w:val="36"/>
              <w:lang w:val="en-US" w:eastAsia="zh-CN" w:bidi="ar-SA"/>
            </w:rPr>
            <w:t xml:space="preserve"> 信息化建设</w:t>
          </w:r>
          <w:r>
            <w:rPr>
              <w:color w:val="auto"/>
            </w:rPr>
            <w:tab/>
          </w:r>
          <w:r>
            <w:rPr>
              <w:color w:val="auto"/>
            </w:rPr>
            <w:fldChar w:fldCharType="begin"/>
          </w:r>
          <w:r>
            <w:rPr>
              <w:color w:val="auto"/>
            </w:rPr>
            <w:instrText xml:space="preserve"> PAGEREF _Toc30205 \h </w:instrText>
          </w:r>
          <w:r>
            <w:rPr>
              <w:color w:val="auto"/>
            </w:rPr>
            <w:fldChar w:fldCharType="separate"/>
          </w:r>
          <w:r>
            <w:rPr>
              <w:color w:val="auto"/>
            </w:rPr>
            <w:t>66</w:t>
          </w:r>
          <w:r>
            <w:rPr>
              <w:color w:val="auto"/>
            </w:rPr>
            <w:fldChar w:fldCharType="end"/>
          </w:r>
          <w:r>
            <w:rPr>
              <w:rFonts w:hint="default" w:ascii="Times New Roman" w:hAnsi="Times New Roman" w:eastAsia="宋体" w:cs="Times New Roman"/>
              <w:color w:val="auto"/>
              <w:szCs w:val="24"/>
            </w:rPr>
            <w:fldChar w:fldCharType="end"/>
          </w:r>
        </w:p>
        <w:p w14:paraId="628E863B">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_Toc11511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第九章 科技支撑和能力建设</w:t>
          </w:r>
          <w:r>
            <w:rPr>
              <w:color w:val="auto"/>
            </w:rPr>
            <w:tab/>
          </w:r>
          <w:r>
            <w:rPr>
              <w:color w:val="auto"/>
            </w:rPr>
            <w:fldChar w:fldCharType="begin"/>
          </w:r>
          <w:r>
            <w:rPr>
              <w:color w:val="auto"/>
            </w:rPr>
            <w:instrText xml:space="preserve"> PAGEREF _Toc11511 \h </w:instrText>
          </w:r>
          <w:r>
            <w:rPr>
              <w:color w:val="auto"/>
            </w:rPr>
            <w:fldChar w:fldCharType="separate"/>
          </w:r>
          <w:r>
            <w:rPr>
              <w:color w:val="auto"/>
            </w:rPr>
            <w:t>70</w:t>
          </w:r>
          <w:r>
            <w:rPr>
              <w:color w:val="auto"/>
            </w:rPr>
            <w:fldChar w:fldCharType="end"/>
          </w:r>
          <w:r>
            <w:rPr>
              <w:rFonts w:hint="default" w:ascii="Times New Roman" w:hAnsi="Times New Roman" w:eastAsia="宋体" w:cs="Times New Roman"/>
              <w:color w:val="auto"/>
              <w:szCs w:val="24"/>
            </w:rPr>
            <w:fldChar w:fldCharType="end"/>
          </w:r>
        </w:p>
        <w:p w14:paraId="12AFF82F">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_Toc4279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w:t>
          </w:r>
          <w:r>
            <w:rPr>
              <w:rFonts w:hint="default" w:ascii="黑体" w:hAnsi="黑体" w:eastAsia="黑体" w:cs="黑体"/>
              <w:color w:val="auto"/>
              <w:szCs w:val="32"/>
              <w:lang w:val="en-US" w:eastAsia="zh-CN"/>
            </w:rPr>
            <w:t>科技支撑</w:t>
          </w:r>
          <w:r>
            <w:rPr>
              <w:color w:val="auto"/>
            </w:rPr>
            <w:tab/>
          </w:r>
          <w:r>
            <w:rPr>
              <w:color w:val="auto"/>
            </w:rPr>
            <w:fldChar w:fldCharType="begin"/>
          </w:r>
          <w:r>
            <w:rPr>
              <w:color w:val="auto"/>
            </w:rPr>
            <w:instrText xml:space="preserve"> PAGEREF _Toc4279 \h </w:instrText>
          </w:r>
          <w:r>
            <w:rPr>
              <w:color w:val="auto"/>
            </w:rPr>
            <w:fldChar w:fldCharType="separate"/>
          </w:r>
          <w:r>
            <w:rPr>
              <w:color w:val="auto"/>
            </w:rPr>
            <w:t>70</w:t>
          </w:r>
          <w:r>
            <w:rPr>
              <w:color w:val="auto"/>
            </w:rPr>
            <w:fldChar w:fldCharType="end"/>
          </w:r>
          <w:r>
            <w:rPr>
              <w:rFonts w:hint="default" w:ascii="Times New Roman" w:hAnsi="Times New Roman" w:eastAsia="宋体" w:cs="Times New Roman"/>
              <w:color w:val="auto"/>
              <w:szCs w:val="24"/>
            </w:rPr>
            <w:fldChar w:fldCharType="end"/>
          </w:r>
        </w:p>
        <w:p w14:paraId="3D51DEF4">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_Toc8221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二、能力建设</w:t>
          </w:r>
          <w:r>
            <w:rPr>
              <w:color w:val="auto"/>
            </w:rPr>
            <w:tab/>
          </w:r>
          <w:r>
            <w:rPr>
              <w:color w:val="auto"/>
            </w:rPr>
            <w:fldChar w:fldCharType="begin"/>
          </w:r>
          <w:r>
            <w:rPr>
              <w:color w:val="auto"/>
            </w:rPr>
            <w:instrText xml:space="preserve"> PAGEREF _Toc8221 \h </w:instrText>
          </w:r>
          <w:r>
            <w:rPr>
              <w:color w:val="auto"/>
            </w:rPr>
            <w:fldChar w:fldCharType="separate"/>
          </w:r>
          <w:r>
            <w:rPr>
              <w:color w:val="auto"/>
            </w:rPr>
            <w:t>74</w:t>
          </w:r>
          <w:r>
            <w:rPr>
              <w:color w:val="auto"/>
            </w:rPr>
            <w:fldChar w:fldCharType="end"/>
          </w:r>
          <w:r>
            <w:rPr>
              <w:rFonts w:hint="default" w:ascii="Times New Roman" w:hAnsi="Times New Roman" w:eastAsia="宋体" w:cs="Times New Roman"/>
              <w:color w:val="auto"/>
              <w:szCs w:val="24"/>
            </w:rPr>
            <w:fldChar w:fldCharType="end"/>
          </w:r>
        </w:p>
        <w:p w14:paraId="3DC4FC6E">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_Toc997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第十章 投资匡算</w:t>
          </w:r>
          <w:r>
            <w:rPr>
              <w:color w:val="auto"/>
            </w:rPr>
            <w:tab/>
          </w:r>
          <w:r>
            <w:rPr>
              <w:color w:val="auto"/>
            </w:rPr>
            <w:fldChar w:fldCharType="begin"/>
          </w:r>
          <w:r>
            <w:rPr>
              <w:color w:val="auto"/>
            </w:rPr>
            <w:instrText xml:space="preserve"> PAGEREF _Toc997 \h </w:instrText>
          </w:r>
          <w:r>
            <w:rPr>
              <w:color w:val="auto"/>
            </w:rPr>
            <w:fldChar w:fldCharType="separate"/>
          </w:r>
          <w:r>
            <w:rPr>
              <w:color w:val="auto"/>
            </w:rPr>
            <w:t>77</w:t>
          </w:r>
          <w:r>
            <w:rPr>
              <w:color w:val="auto"/>
            </w:rPr>
            <w:fldChar w:fldCharType="end"/>
          </w:r>
          <w:r>
            <w:rPr>
              <w:rFonts w:hint="default" w:ascii="Times New Roman" w:hAnsi="Times New Roman" w:eastAsia="宋体" w:cs="Times New Roman"/>
              <w:color w:val="auto"/>
              <w:szCs w:val="24"/>
            </w:rPr>
            <w:fldChar w:fldCharType="end"/>
          </w:r>
        </w:p>
        <w:p w14:paraId="7DE1191B">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_Toc7379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28"/>
              <w:lang w:val="en-US" w:eastAsia="zh-CN"/>
            </w:rPr>
            <w:t>一、投资匡算</w:t>
          </w:r>
          <w:r>
            <w:rPr>
              <w:color w:val="auto"/>
            </w:rPr>
            <w:tab/>
          </w:r>
          <w:r>
            <w:rPr>
              <w:color w:val="auto"/>
            </w:rPr>
            <w:fldChar w:fldCharType="begin"/>
          </w:r>
          <w:r>
            <w:rPr>
              <w:color w:val="auto"/>
            </w:rPr>
            <w:instrText xml:space="preserve"> PAGEREF _Toc7379 \h </w:instrText>
          </w:r>
          <w:r>
            <w:rPr>
              <w:color w:val="auto"/>
            </w:rPr>
            <w:fldChar w:fldCharType="separate"/>
          </w:r>
          <w:r>
            <w:rPr>
              <w:color w:val="auto"/>
            </w:rPr>
            <w:t>77</w:t>
          </w:r>
          <w:r>
            <w:rPr>
              <w:color w:val="auto"/>
            </w:rPr>
            <w:fldChar w:fldCharType="end"/>
          </w:r>
          <w:r>
            <w:rPr>
              <w:rFonts w:hint="default" w:ascii="Times New Roman" w:hAnsi="Times New Roman" w:eastAsia="宋体" w:cs="Times New Roman"/>
              <w:color w:val="auto"/>
              <w:szCs w:val="24"/>
            </w:rPr>
            <w:fldChar w:fldCharType="end"/>
          </w:r>
        </w:p>
        <w:p w14:paraId="11F002E8">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_Toc22183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28"/>
              <w:lang w:val="en-US" w:eastAsia="zh-CN"/>
            </w:rPr>
            <w:t>二、资金筹措</w:t>
          </w:r>
          <w:r>
            <w:rPr>
              <w:color w:val="auto"/>
            </w:rPr>
            <w:tab/>
          </w:r>
          <w:r>
            <w:rPr>
              <w:color w:val="auto"/>
            </w:rPr>
            <w:fldChar w:fldCharType="begin"/>
          </w:r>
          <w:r>
            <w:rPr>
              <w:color w:val="auto"/>
            </w:rPr>
            <w:instrText xml:space="preserve"> PAGEREF _Toc22183 \h </w:instrText>
          </w:r>
          <w:r>
            <w:rPr>
              <w:color w:val="auto"/>
            </w:rPr>
            <w:fldChar w:fldCharType="separate"/>
          </w:r>
          <w:r>
            <w:rPr>
              <w:color w:val="auto"/>
            </w:rPr>
            <w:t>80</w:t>
          </w:r>
          <w:r>
            <w:rPr>
              <w:color w:val="auto"/>
            </w:rPr>
            <w:fldChar w:fldCharType="end"/>
          </w:r>
          <w:r>
            <w:rPr>
              <w:rFonts w:hint="default" w:ascii="Times New Roman" w:hAnsi="Times New Roman" w:eastAsia="宋体" w:cs="Times New Roman"/>
              <w:color w:val="auto"/>
              <w:szCs w:val="24"/>
            </w:rPr>
            <w:fldChar w:fldCharType="end"/>
          </w:r>
        </w:p>
        <w:p w14:paraId="285A41C4">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_Toc26366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第十一章 工程效益评价</w:t>
          </w:r>
          <w:r>
            <w:rPr>
              <w:color w:val="auto"/>
            </w:rPr>
            <w:tab/>
          </w:r>
          <w:r>
            <w:rPr>
              <w:color w:val="auto"/>
            </w:rPr>
            <w:fldChar w:fldCharType="begin"/>
          </w:r>
          <w:r>
            <w:rPr>
              <w:color w:val="auto"/>
            </w:rPr>
            <w:instrText xml:space="preserve"> PAGEREF _Toc26366 \h </w:instrText>
          </w:r>
          <w:r>
            <w:rPr>
              <w:color w:val="auto"/>
            </w:rPr>
            <w:fldChar w:fldCharType="separate"/>
          </w:r>
          <w:r>
            <w:rPr>
              <w:color w:val="auto"/>
            </w:rPr>
            <w:t>81</w:t>
          </w:r>
          <w:r>
            <w:rPr>
              <w:color w:val="auto"/>
            </w:rPr>
            <w:fldChar w:fldCharType="end"/>
          </w:r>
          <w:r>
            <w:rPr>
              <w:rFonts w:hint="default" w:ascii="Times New Roman" w:hAnsi="Times New Roman" w:eastAsia="宋体" w:cs="Times New Roman"/>
              <w:color w:val="auto"/>
              <w:szCs w:val="24"/>
            </w:rPr>
            <w:fldChar w:fldCharType="end"/>
          </w:r>
        </w:p>
        <w:p w14:paraId="33AA3430">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_Toc22899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一、生态效益</w:t>
          </w:r>
          <w:r>
            <w:rPr>
              <w:color w:val="auto"/>
            </w:rPr>
            <w:tab/>
          </w:r>
          <w:r>
            <w:rPr>
              <w:color w:val="auto"/>
            </w:rPr>
            <w:fldChar w:fldCharType="begin"/>
          </w:r>
          <w:r>
            <w:rPr>
              <w:color w:val="auto"/>
            </w:rPr>
            <w:instrText xml:space="preserve"> PAGEREF _Toc22899 \h </w:instrText>
          </w:r>
          <w:r>
            <w:rPr>
              <w:color w:val="auto"/>
            </w:rPr>
            <w:fldChar w:fldCharType="separate"/>
          </w:r>
          <w:r>
            <w:rPr>
              <w:color w:val="auto"/>
            </w:rPr>
            <w:t>81</w:t>
          </w:r>
          <w:r>
            <w:rPr>
              <w:color w:val="auto"/>
            </w:rPr>
            <w:fldChar w:fldCharType="end"/>
          </w:r>
          <w:r>
            <w:rPr>
              <w:rFonts w:hint="default" w:ascii="Times New Roman" w:hAnsi="Times New Roman" w:eastAsia="宋体" w:cs="Times New Roman"/>
              <w:color w:val="auto"/>
              <w:szCs w:val="24"/>
            </w:rPr>
            <w:fldChar w:fldCharType="end"/>
          </w:r>
        </w:p>
        <w:p w14:paraId="6EA680B4">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_Toc16602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二、经济效益</w:t>
          </w:r>
          <w:r>
            <w:rPr>
              <w:color w:val="auto"/>
            </w:rPr>
            <w:tab/>
          </w:r>
          <w:r>
            <w:rPr>
              <w:color w:val="auto"/>
            </w:rPr>
            <w:fldChar w:fldCharType="begin"/>
          </w:r>
          <w:r>
            <w:rPr>
              <w:color w:val="auto"/>
            </w:rPr>
            <w:instrText xml:space="preserve"> PAGEREF _Toc16602 \h </w:instrText>
          </w:r>
          <w:r>
            <w:rPr>
              <w:color w:val="auto"/>
            </w:rPr>
            <w:fldChar w:fldCharType="separate"/>
          </w:r>
          <w:r>
            <w:rPr>
              <w:color w:val="auto"/>
            </w:rPr>
            <w:t>82</w:t>
          </w:r>
          <w:r>
            <w:rPr>
              <w:color w:val="auto"/>
            </w:rPr>
            <w:fldChar w:fldCharType="end"/>
          </w:r>
          <w:r>
            <w:rPr>
              <w:rFonts w:hint="default" w:ascii="Times New Roman" w:hAnsi="Times New Roman" w:eastAsia="宋体" w:cs="Times New Roman"/>
              <w:color w:val="auto"/>
              <w:szCs w:val="24"/>
            </w:rPr>
            <w:fldChar w:fldCharType="end"/>
          </w:r>
        </w:p>
        <w:p w14:paraId="206CBF2D">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_Toc4800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三、社会效益</w:t>
          </w:r>
          <w:r>
            <w:rPr>
              <w:color w:val="auto"/>
            </w:rPr>
            <w:tab/>
          </w:r>
          <w:r>
            <w:rPr>
              <w:color w:val="auto"/>
            </w:rPr>
            <w:fldChar w:fldCharType="begin"/>
          </w:r>
          <w:r>
            <w:rPr>
              <w:color w:val="auto"/>
            </w:rPr>
            <w:instrText xml:space="preserve"> PAGEREF _Toc4800 \h </w:instrText>
          </w:r>
          <w:r>
            <w:rPr>
              <w:color w:val="auto"/>
            </w:rPr>
            <w:fldChar w:fldCharType="separate"/>
          </w:r>
          <w:r>
            <w:rPr>
              <w:color w:val="auto"/>
            </w:rPr>
            <w:t>83</w:t>
          </w:r>
          <w:r>
            <w:rPr>
              <w:color w:val="auto"/>
            </w:rPr>
            <w:fldChar w:fldCharType="end"/>
          </w:r>
          <w:r>
            <w:rPr>
              <w:rFonts w:hint="default" w:ascii="Times New Roman" w:hAnsi="Times New Roman" w:eastAsia="宋体" w:cs="Times New Roman"/>
              <w:color w:val="auto"/>
              <w:szCs w:val="24"/>
            </w:rPr>
            <w:fldChar w:fldCharType="end"/>
          </w:r>
        </w:p>
        <w:p w14:paraId="5658E01B">
          <w:pPr>
            <w:pStyle w:val="14"/>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_Toc30568 </w:instrText>
          </w:r>
          <w:r>
            <w:rPr>
              <w:rFonts w:hint="default" w:ascii="Times New Roman" w:hAnsi="Times New Roman" w:eastAsia="宋体" w:cs="Times New Roman"/>
              <w:color w:val="auto"/>
              <w:szCs w:val="24"/>
            </w:rPr>
            <w:fldChar w:fldCharType="separate"/>
          </w:r>
          <w:r>
            <w:rPr>
              <w:rFonts w:hint="eastAsia" w:ascii="方正小标宋_GBK" w:hAnsi="Times New Roman" w:eastAsia="方正小标宋_GBK" w:cs="Times New Roman"/>
              <w:bCs w:val="0"/>
              <w:color w:val="auto"/>
              <w:kern w:val="44"/>
              <w:szCs w:val="36"/>
              <w:lang w:val="en-US" w:eastAsia="zh-CN" w:bidi="ar-SA"/>
            </w:rPr>
            <w:t>第十二章 实施保障措施</w:t>
          </w:r>
          <w:r>
            <w:rPr>
              <w:color w:val="auto"/>
            </w:rPr>
            <w:tab/>
          </w:r>
          <w:r>
            <w:rPr>
              <w:color w:val="auto"/>
            </w:rPr>
            <w:fldChar w:fldCharType="begin"/>
          </w:r>
          <w:r>
            <w:rPr>
              <w:color w:val="auto"/>
            </w:rPr>
            <w:instrText xml:space="preserve"> PAGEREF _Toc30568 \h </w:instrText>
          </w:r>
          <w:r>
            <w:rPr>
              <w:color w:val="auto"/>
            </w:rPr>
            <w:fldChar w:fldCharType="separate"/>
          </w:r>
          <w:r>
            <w:rPr>
              <w:color w:val="auto"/>
            </w:rPr>
            <w:t>84</w:t>
          </w:r>
          <w:r>
            <w:rPr>
              <w:color w:val="auto"/>
            </w:rPr>
            <w:fldChar w:fldCharType="end"/>
          </w:r>
          <w:r>
            <w:rPr>
              <w:rFonts w:hint="default" w:ascii="Times New Roman" w:hAnsi="Times New Roman" w:eastAsia="宋体" w:cs="Times New Roman"/>
              <w:color w:val="auto"/>
              <w:szCs w:val="24"/>
            </w:rPr>
            <w:fldChar w:fldCharType="end"/>
          </w:r>
        </w:p>
        <w:p w14:paraId="5564307A">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_Toc8790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一、加强组织领导</w:t>
          </w:r>
          <w:r>
            <w:rPr>
              <w:color w:val="auto"/>
            </w:rPr>
            <w:tab/>
          </w:r>
          <w:r>
            <w:rPr>
              <w:color w:val="auto"/>
            </w:rPr>
            <w:fldChar w:fldCharType="begin"/>
          </w:r>
          <w:r>
            <w:rPr>
              <w:color w:val="auto"/>
            </w:rPr>
            <w:instrText xml:space="preserve"> PAGEREF _Toc8790 \h </w:instrText>
          </w:r>
          <w:r>
            <w:rPr>
              <w:color w:val="auto"/>
            </w:rPr>
            <w:fldChar w:fldCharType="separate"/>
          </w:r>
          <w:r>
            <w:rPr>
              <w:color w:val="auto"/>
            </w:rPr>
            <w:t>84</w:t>
          </w:r>
          <w:r>
            <w:rPr>
              <w:color w:val="auto"/>
            </w:rPr>
            <w:fldChar w:fldCharType="end"/>
          </w:r>
          <w:r>
            <w:rPr>
              <w:rFonts w:hint="default" w:ascii="Times New Roman" w:hAnsi="Times New Roman" w:eastAsia="宋体" w:cs="Times New Roman"/>
              <w:color w:val="auto"/>
              <w:szCs w:val="24"/>
            </w:rPr>
            <w:fldChar w:fldCharType="end"/>
          </w:r>
        </w:p>
        <w:p w14:paraId="22895B33">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_Toc7951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二、政策法制保障</w:t>
          </w:r>
          <w:r>
            <w:rPr>
              <w:color w:val="auto"/>
            </w:rPr>
            <w:tab/>
          </w:r>
          <w:r>
            <w:rPr>
              <w:color w:val="auto"/>
            </w:rPr>
            <w:fldChar w:fldCharType="begin"/>
          </w:r>
          <w:r>
            <w:rPr>
              <w:color w:val="auto"/>
            </w:rPr>
            <w:instrText xml:space="preserve"> PAGEREF _Toc7951 \h </w:instrText>
          </w:r>
          <w:r>
            <w:rPr>
              <w:color w:val="auto"/>
            </w:rPr>
            <w:fldChar w:fldCharType="separate"/>
          </w:r>
          <w:r>
            <w:rPr>
              <w:color w:val="auto"/>
            </w:rPr>
            <w:t>84</w:t>
          </w:r>
          <w:r>
            <w:rPr>
              <w:color w:val="auto"/>
            </w:rPr>
            <w:fldChar w:fldCharType="end"/>
          </w:r>
          <w:r>
            <w:rPr>
              <w:rFonts w:hint="default" w:ascii="Times New Roman" w:hAnsi="Times New Roman" w:eastAsia="宋体" w:cs="Times New Roman"/>
              <w:color w:val="auto"/>
              <w:szCs w:val="24"/>
            </w:rPr>
            <w:fldChar w:fldCharType="end"/>
          </w:r>
        </w:p>
        <w:p w14:paraId="1BF766F6">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_Toc22474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三、加大投入力度</w:t>
          </w:r>
          <w:r>
            <w:rPr>
              <w:color w:val="auto"/>
            </w:rPr>
            <w:tab/>
          </w:r>
          <w:r>
            <w:rPr>
              <w:color w:val="auto"/>
            </w:rPr>
            <w:fldChar w:fldCharType="begin"/>
          </w:r>
          <w:r>
            <w:rPr>
              <w:color w:val="auto"/>
            </w:rPr>
            <w:instrText xml:space="preserve"> PAGEREF _Toc22474 \h </w:instrText>
          </w:r>
          <w:r>
            <w:rPr>
              <w:color w:val="auto"/>
            </w:rPr>
            <w:fldChar w:fldCharType="separate"/>
          </w:r>
          <w:r>
            <w:rPr>
              <w:color w:val="auto"/>
            </w:rPr>
            <w:t>85</w:t>
          </w:r>
          <w:r>
            <w:rPr>
              <w:color w:val="auto"/>
            </w:rPr>
            <w:fldChar w:fldCharType="end"/>
          </w:r>
          <w:r>
            <w:rPr>
              <w:rFonts w:hint="default" w:ascii="Times New Roman" w:hAnsi="Times New Roman" w:eastAsia="宋体" w:cs="Times New Roman"/>
              <w:color w:val="auto"/>
              <w:szCs w:val="24"/>
            </w:rPr>
            <w:fldChar w:fldCharType="end"/>
          </w:r>
        </w:p>
        <w:p w14:paraId="524BCB36">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_Toc27286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四、依靠科技进步</w:t>
          </w:r>
          <w:r>
            <w:rPr>
              <w:color w:val="auto"/>
            </w:rPr>
            <w:tab/>
          </w:r>
          <w:r>
            <w:rPr>
              <w:color w:val="auto"/>
            </w:rPr>
            <w:fldChar w:fldCharType="begin"/>
          </w:r>
          <w:r>
            <w:rPr>
              <w:color w:val="auto"/>
            </w:rPr>
            <w:instrText xml:space="preserve"> PAGEREF _Toc27286 \h </w:instrText>
          </w:r>
          <w:r>
            <w:rPr>
              <w:color w:val="auto"/>
            </w:rPr>
            <w:fldChar w:fldCharType="separate"/>
          </w:r>
          <w:r>
            <w:rPr>
              <w:color w:val="auto"/>
            </w:rPr>
            <w:t>86</w:t>
          </w:r>
          <w:r>
            <w:rPr>
              <w:color w:val="auto"/>
            </w:rPr>
            <w:fldChar w:fldCharType="end"/>
          </w:r>
          <w:r>
            <w:rPr>
              <w:rFonts w:hint="default" w:ascii="Times New Roman" w:hAnsi="Times New Roman" w:eastAsia="宋体" w:cs="Times New Roman"/>
              <w:color w:val="auto"/>
              <w:szCs w:val="24"/>
            </w:rPr>
            <w:fldChar w:fldCharType="end"/>
          </w:r>
        </w:p>
        <w:p w14:paraId="5DC06D1E">
          <w:pPr>
            <w:pStyle w:val="16"/>
            <w:tabs>
              <w:tab w:val="right" w:leader="dot" w:pos="8306"/>
            </w:tabs>
            <w:rPr>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_Toc24110 </w:instrText>
          </w:r>
          <w:r>
            <w:rPr>
              <w:rFonts w:hint="default" w:ascii="Times New Roman" w:hAnsi="Times New Roman" w:eastAsia="宋体" w:cs="Times New Roman"/>
              <w:color w:val="auto"/>
              <w:szCs w:val="24"/>
            </w:rPr>
            <w:fldChar w:fldCharType="separate"/>
          </w:r>
          <w:r>
            <w:rPr>
              <w:rFonts w:hint="eastAsia" w:ascii="黑体" w:hAnsi="黑体" w:eastAsia="黑体" w:cs="黑体"/>
              <w:color w:val="auto"/>
              <w:szCs w:val="32"/>
              <w:lang w:val="en-US" w:eastAsia="zh-CN"/>
            </w:rPr>
            <w:t>五、增强全民参与</w:t>
          </w:r>
          <w:r>
            <w:rPr>
              <w:color w:val="auto"/>
            </w:rPr>
            <w:tab/>
          </w:r>
          <w:r>
            <w:rPr>
              <w:color w:val="auto"/>
            </w:rPr>
            <w:fldChar w:fldCharType="begin"/>
          </w:r>
          <w:r>
            <w:rPr>
              <w:color w:val="auto"/>
            </w:rPr>
            <w:instrText xml:space="preserve"> PAGEREF _Toc24110 \h </w:instrText>
          </w:r>
          <w:r>
            <w:rPr>
              <w:color w:val="auto"/>
            </w:rPr>
            <w:fldChar w:fldCharType="separate"/>
          </w:r>
          <w:r>
            <w:rPr>
              <w:color w:val="auto"/>
            </w:rPr>
            <w:t>86</w:t>
          </w:r>
          <w:r>
            <w:rPr>
              <w:color w:val="auto"/>
            </w:rPr>
            <w:fldChar w:fldCharType="end"/>
          </w:r>
          <w:r>
            <w:rPr>
              <w:rFonts w:hint="default" w:ascii="Times New Roman" w:hAnsi="Times New Roman" w:eastAsia="宋体" w:cs="Times New Roman"/>
              <w:color w:val="auto"/>
              <w:szCs w:val="24"/>
            </w:rPr>
            <w:fldChar w:fldCharType="end"/>
          </w:r>
        </w:p>
        <w:p w14:paraId="0E7E2639">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Cs w:val="24"/>
            </w:rPr>
            <w:fldChar w:fldCharType="end"/>
          </w:r>
        </w:p>
      </w:sdtContent>
    </w:sdt>
    <w:p w14:paraId="0A9EF9CE">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lang w:eastAsia="zh-CN"/>
        </w:rPr>
      </w:pPr>
      <w:r>
        <w:rPr>
          <w:rFonts w:hint="eastAsia" w:ascii="黑体" w:hAnsi="黑体" w:eastAsia="黑体" w:cs="黑体"/>
          <w:color w:val="auto"/>
          <w:sz w:val="21"/>
          <w:szCs w:val="21"/>
        </w:rPr>
        <w:t>附</w:t>
      </w:r>
      <w:r>
        <w:rPr>
          <w:rFonts w:hint="eastAsia" w:ascii="黑体" w:hAnsi="黑体" w:eastAsia="黑体" w:cs="黑体"/>
          <w:color w:val="auto"/>
          <w:sz w:val="21"/>
          <w:szCs w:val="21"/>
          <w:lang w:val="en-US" w:eastAsia="zh-CN"/>
        </w:rPr>
        <w:t>表</w:t>
      </w:r>
    </w:p>
    <w:p w14:paraId="1432E50A">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rPr>
      </w:pPr>
      <w:bookmarkStart w:id="0" w:name="_Toc15530"/>
      <w:r>
        <w:rPr>
          <w:rFonts w:hint="eastAsia" w:ascii="黑体" w:hAnsi="黑体" w:eastAsia="黑体" w:cs="黑体"/>
          <w:color w:val="auto"/>
          <w:sz w:val="21"/>
          <w:szCs w:val="21"/>
        </w:rPr>
        <w:t xml:space="preserve">附表1 </w:t>
      </w:r>
      <w:r>
        <w:rPr>
          <w:rFonts w:hint="eastAsia" w:ascii="黑体" w:hAnsi="黑体" w:eastAsia="黑体" w:cs="黑体"/>
          <w:color w:val="auto"/>
          <w:sz w:val="21"/>
          <w:szCs w:val="21"/>
          <w:lang w:val="en-US" w:eastAsia="zh-CN"/>
        </w:rPr>
        <w:t>贵州省“十四五”水土保持重点工程项目库</w:t>
      </w:r>
      <w:r>
        <w:rPr>
          <w:rFonts w:hint="eastAsia" w:ascii="黑体" w:hAnsi="黑体" w:eastAsia="黑体" w:cs="黑体"/>
          <w:color w:val="auto"/>
          <w:sz w:val="21"/>
          <w:szCs w:val="21"/>
        </w:rPr>
        <w:t>表</w:t>
      </w:r>
      <w:bookmarkEnd w:id="0"/>
    </w:p>
    <w:p w14:paraId="554A80D9">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rPr>
      </w:pPr>
      <w:bookmarkStart w:id="1" w:name="_Toc11380"/>
      <w:r>
        <w:rPr>
          <w:rFonts w:hint="eastAsia" w:ascii="黑体" w:hAnsi="黑体" w:eastAsia="黑体" w:cs="黑体"/>
          <w:color w:val="auto"/>
          <w:sz w:val="21"/>
          <w:szCs w:val="21"/>
        </w:rPr>
        <w:t>附表</w:t>
      </w:r>
      <w:r>
        <w:rPr>
          <w:rFonts w:hint="eastAsia" w:ascii="黑体" w:hAnsi="黑体" w:eastAsia="黑体" w:cs="黑体"/>
          <w:color w:val="auto"/>
          <w:sz w:val="21"/>
          <w:szCs w:val="21"/>
          <w:lang w:val="en-US" w:eastAsia="zh-CN"/>
        </w:rPr>
        <w:t>2</w:t>
      </w:r>
      <w:r>
        <w:rPr>
          <w:rFonts w:hint="eastAsia" w:ascii="黑体" w:hAnsi="黑体" w:eastAsia="黑体" w:cs="黑体"/>
          <w:color w:val="auto"/>
          <w:sz w:val="21"/>
          <w:szCs w:val="21"/>
        </w:rPr>
        <w:t xml:space="preserve"> </w:t>
      </w:r>
      <w:r>
        <w:rPr>
          <w:rFonts w:hint="eastAsia" w:ascii="黑体" w:hAnsi="黑体" w:eastAsia="黑体" w:cs="黑体"/>
          <w:color w:val="auto"/>
          <w:sz w:val="21"/>
          <w:szCs w:val="21"/>
          <w:lang w:val="en-US" w:eastAsia="zh-CN"/>
        </w:rPr>
        <w:t>贵州省“十四五”坡耕地水土流失综合治理工程项目库</w:t>
      </w:r>
      <w:r>
        <w:rPr>
          <w:rFonts w:hint="eastAsia" w:ascii="黑体" w:hAnsi="黑体" w:eastAsia="黑体" w:cs="黑体"/>
          <w:color w:val="auto"/>
          <w:sz w:val="21"/>
          <w:szCs w:val="21"/>
        </w:rPr>
        <w:t>表</w:t>
      </w:r>
      <w:bookmarkEnd w:id="1"/>
    </w:p>
    <w:p w14:paraId="262CDD17">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rPr>
      </w:pPr>
      <w:bookmarkStart w:id="2" w:name="_Toc6270"/>
      <w:r>
        <w:rPr>
          <w:rFonts w:hint="eastAsia" w:ascii="黑体" w:hAnsi="黑体" w:eastAsia="黑体" w:cs="黑体"/>
          <w:color w:val="auto"/>
          <w:sz w:val="21"/>
          <w:szCs w:val="21"/>
        </w:rPr>
        <w:t>附表</w:t>
      </w:r>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rPr>
        <w:t xml:space="preserve"> 贵州省分县（市、区、</w:t>
      </w:r>
      <w:r>
        <w:rPr>
          <w:rFonts w:hint="eastAsia" w:ascii="黑体" w:hAnsi="黑体" w:eastAsia="黑体" w:cs="黑体"/>
          <w:color w:val="auto"/>
          <w:sz w:val="21"/>
          <w:szCs w:val="21"/>
          <w:lang w:val="en-US" w:eastAsia="zh-CN"/>
        </w:rPr>
        <w:t>特区</w:t>
      </w:r>
      <w:r>
        <w:rPr>
          <w:rFonts w:hint="eastAsia" w:ascii="黑体" w:hAnsi="黑体" w:eastAsia="黑体" w:cs="黑体"/>
          <w:color w:val="auto"/>
          <w:sz w:val="21"/>
          <w:szCs w:val="21"/>
        </w:rPr>
        <w:t>）水土流失现状统计表</w:t>
      </w:r>
      <w:bookmarkEnd w:id="2"/>
    </w:p>
    <w:p w14:paraId="1A40BADB">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附图</w:t>
      </w:r>
    </w:p>
    <w:p w14:paraId="2B28C05C">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lang w:val="en-US" w:eastAsia="zh-CN"/>
        </w:rPr>
      </w:pPr>
      <w:bookmarkStart w:id="3" w:name="_Toc28786"/>
      <w:r>
        <w:rPr>
          <w:rFonts w:hint="eastAsia" w:ascii="黑体" w:hAnsi="黑体" w:eastAsia="黑体" w:cs="黑体"/>
          <w:color w:val="auto"/>
          <w:sz w:val="21"/>
          <w:szCs w:val="21"/>
        </w:rPr>
        <w:t xml:space="preserve">附图1 </w:t>
      </w:r>
      <w:r>
        <w:rPr>
          <w:rFonts w:hint="eastAsia" w:ascii="黑体" w:hAnsi="黑体" w:eastAsia="黑体" w:cs="黑体"/>
          <w:color w:val="auto"/>
          <w:sz w:val="21"/>
          <w:szCs w:val="21"/>
          <w:lang w:val="en-US" w:eastAsia="zh-CN"/>
        </w:rPr>
        <w:t>贵州省水土流失现状图</w:t>
      </w:r>
      <w:bookmarkEnd w:id="3"/>
    </w:p>
    <w:p w14:paraId="0903BD3D">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rPr>
      </w:pPr>
      <w:bookmarkStart w:id="4" w:name="_Toc17020"/>
      <w:r>
        <w:rPr>
          <w:rFonts w:hint="eastAsia" w:ascii="黑体" w:hAnsi="黑体" w:eastAsia="黑体" w:cs="黑体"/>
          <w:color w:val="auto"/>
          <w:sz w:val="21"/>
          <w:szCs w:val="21"/>
        </w:rPr>
        <w:t>附图</w:t>
      </w:r>
      <w:r>
        <w:rPr>
          <w:rFonts w:hint="eastAsia" w:ascii="黑体" w:hAnsi="黑体" w:eastAsia="黑体" w:cs="黑体"/>
          <w:color w:val="auto"/>
          <w:sz w:val="21"/>
          <w:szCs w:val="21"/>
          <w:lang w:val="en-US" w:eastAsia="zh-CN"/>
        </w:rPr>
        <w:t>2</w:t>
      </w:r>
      <w:r>
        <w:rPr>
          <w:rFonts w:hint="eastAsia" w:ascii="黑体" w:hAnsi="黑体" w:eastAsia="黑体" w:cs="黑体"/>
          <w:color w:val="auto"/>
          <w:sz w:val="21"/>
          <w:szCs w:val="21"/>
        </w:rPr>
        <w:t xml:space="preserve"> </w:t>
      </w:r>
      <w:r>
        <w:rPr>
          <w:rFonts w:hint="eastAsia" w:ascii="黑体" w:hAnsi="黑体" w:eastAsia="黑体" w:cs="黑体"/>
          <w:color w:val="auto"/>
          <w:sz w:val="21"/>
          <w:szCs w:val="21"/>
          <w:lang w:val="en-US" w:eastAsia="zh-CN"/>
        </w:rPr>
        <w:t>贵州省</w:t>
      </w:r>
      <w:r>
        <w:rPr>
          <w:rFonts w:hint="eastAsia" w:ascii="黑体" w:hAnsi="黑体" w:eastAsia="黑体" w:cs="黑体"/>
          <w:color w:val="auto"/>
          <w:sz w:val="21"/>
          <w:szCs w:val="21"/>
        </w:rPr>
        <w:t>水土流失重点防治区</w:t>
      </w:r>
      <w:r>
        <w:rPr>
          <w:rFonts w:hint="eastAsia" w:ascii="黑体" w:hAnsi="黑体" w:eastAsia="黑体" w:cs="黑体"/>
          <w:color w:val="auto"/>
          <w:sz w:val="21"/>
          <w:szCs w:val="21"/>
          <w:lang w:val="en-US" w:eastAsia="zh-CN"/>
        </w:rPr>
        <w:t>分区</w:t>
      </w:r>
      <w:r>
        <w:rPr>
          <w:rFonts w:hint="eastAsia" w:ascii="黑体" w:hAnsi="黑体" w:eastAsia="黑体" w:cs="黑体"/>
          <w:color w:val="auto"/>
          <w:sz w:val="21"/>
          <w:szCs w:val="21"/>
        </w:rPr>
        <w:t>图</w:t>
      </w:r>
      <w:bookmarkEnd w:id="4"/>
    </w:p>
    <w:p w14:paraId="44C789C0">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color w:val="auto"/>
          <w:sz w:val="21"/>
          <w:szCs w:val="21"/>
        </w:rPr>
      </w:pPr>
      <w:bookmarkStart w:id="5" w:name="_Toc24217"/>
      <w:r>
        <w:rPr>
          <w:rFonts w:hint="eastAsia" w:ascii="黑体" w:hAnsi="黑体" w:eastAsia="黑体" w:cs="黑体"/>
          <w:color w:val="auto"/>
          <w:sz w:val="21"/>
          <w:szCs w:val="21"/>
        </w:rPr>
        <w:t>附图</w:t>
      </w:r>
      <w:r>
        <w:rPr>
          <w:rFonts w:hint="eastAsia" w:ascii="黑体" w:hAnsi="黑体" w:eastAsia="黑体" w:cs="黑体"/>
          <w:color w:val="auto"/>
          <w:sz w:val="21"/>
          <w:szCs w:val="21"/>
          <w:lang w:val="en-US" w:eastAsia="zh-CN"/>
        </w:rPr>
        <w:t>3</w:t>
      </w:r>
      <w:r>
        <w:rPr>
          <w:rFonts w:hint="eastAsia" w:ascii="黑体" w:hAnsi="黑体" w:eastAsia="黑体" w:cs="黑体"/>
          <w:color w:val="auto"/>
          <w:sz w:val="21"/>
          <w:szCs w:val="21"/>
        </w:rPr>
        <w:t xml:space="preserve"> 贵州省水土保持监测点布置图</w:t>
      </w:r>
      <w:bookmarkEnd w:id="5"/>
    </w:p>
    <w:p w14:paraId="7301EBD6">
      <w:pPr>
        <w:pStyle w:val="14"/>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cs="Times New Roman" w:eastAsiaTheme="minorEastAsia"/>
          <w:color w:val="auto"/>
          <w:sz w:val="21"/>
          <w:szCs w:val="21"/>
        </w:rPr>
      </w:pPr>
      <w:bookmarkStart w:id="6" w:name="_Toc13252"/>
      <w:r>
        <w:rPr>
          <w:rFonts w:hint="eastAsia" w:ascii="黑体" w:hAnsi="黑体" w:eastAsia="黑体" w:cs="黑体"/>
          <w:color w:val="auto"/>
          <w:sz w:val="21"/>
          <w:szCs w:val="21"/>
        </w:rPr>
        <w:t>附图</w:t>
      </w:r>
      <w:r>
        <w:rPr>
          <w:rFonts w:hint="eastAsia" w:ascii="黑体" w:hAnsi="黑体" w:eastAsia="黑体" w:cs="黑体"/>
          <w:color w:val="auto"/>
          <w:sz w:val="21"/>
          <w:szCs w:val="21"/>
          <w:lang w:val="en-US" w:eastAsia="zh-CN"/>
        </w:rPr>
        <w:t>4</w:t>
      </w:r>
      <w:r>
        <w:rPr>
          <w:rFonts w:hint="eastAsia" w:ascii="黑体" w:hAnsi="黑体" w:eastAsia="黑体" w:cs="黑体"/>
          <w:color w:val="auto"/>
          <w:sz w:val="21"/>
          <w:szCs w:val="21"/>
        </w:rPr>
        <w:t xml:space="preserve"> </w:t>
      </w:r>
      <w:r>
        <w:rPr>
          <w:rFonts w:hint="eastAsia" w:ascii="黑体" w:hAnsi="黑体" w:eastAsia="黑体" w:cs="黑体"/>
          <w:color w:val="auto"/>
          <w:sz w:val="21"/>
          <w:szCs w:val="21"/>
          <w:lang w:val="en-US" w:eastAsia="zh-CN"/>
        </w:rPr>
        <w:t>贵州省“十四五”水土保持重点</w:t>
      </w:r>
      <w:r>
        <w:rPr>
          <w:rFonts w:hint="eastAsia" w:ascii="黑体" w:hAnsi="黑体" w:eastAsia="黑体" w:cs="黑体"/>
          <w:color w:val="auto"/>
          <w:sz w:val="21"/>
          <w:szCs w:val="21"/>
        </w:rPr>
        <w:t>工程</w:t>
      </w:r>
      <w:r>
        <w:rPr>
          <w:rFonts w:hint="eastAsia" w:ascii="黑体" w:hAnsi="黑体" w:eastAsia="黑体" w:cs="黑体"/>
          <w:color w:val="auto"/>
          <w:sz w:val="21"/>
          <w:szCs w:val="21"/>
          <w:lang w:val="en-US" w:eastAsia="zh-CN"/>
        </w:rPr>
        <w:t>分布</w:t>
      </w:r>
      <w:r>
        <w:rPr>
          <w:rFonts w:hint="eastAsia" w:ascii="黑体" w:hAnsi="黑体" w:eastAsia="黑体" w:cs="黑体"/>
          <w:color w:val="auto"/>
          <w:sz w:val="21"/>
          <w:szCs w:val="21"/>
        </w:rPr>
        <w:t>图</w:t>
      </w:r>
      <w:bookmarkEnd w:id="6"/>
    </w:p>
    <w:p w14:paraId="06B6AD4B">
      <w:pPr>
        <w:rPr>
          <w:rFonts w:hint="default"/>
          <w:color w:val="auto"/>
        </w:rPr>
      </w:pPr>
    </w:p>
    <w:p w14:paraId="732F2468">
      <w:pPr>
        <w:rPr>
          <w:rFonts w:hint="default" w:ascii="Times New Roman" w:hAnsi="Times New Roman" w:cs="Times New Roman" w:eastAsiaTheme="minorEastAsia"/>
          <w:color w:val="auto"/>
          <w:sz w:val="24"/>
          <w:szCs w:val="24"/>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BC9E215">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eastAsia" w:ascii="方正小标宋_GBK" w:hAnsi="Times New Roman" w:eastAsia="方正小标宋_GBK" w:cs="Times New Roman"/>
          <w:b w:val="0"/>
          <w:bCs/>
          <w:color w:val="auto"/>
          <w:kern w:val="44"/>
          <w:sz w:val="36"/>
          <w:szCs w:val="36"/>
          <w:lang w:val="en-US" w:eastAsia="zh-CN" w:bidi="ar-SA"/>
        </w:rPr>
      </w:pPr>
      <w:bookmarkStart w:id="7" w:name="_Toc14867"/>
      <w:bookmarkStart w:id="8" w:name="_Toc5021"/>
      <w:r>
        <w:rPr>
          <w:rFonts w:hint="eastAsia" w:ascii="方正小标宋_GBK" w:hAnsi="Times New Roman" w:eastAsia="方正小标宋_GBK" w:cs="Times New Roman"/>
          <w:b/>
          <w:bCs w:val="0"/>
          <w:color w:val="auto"/>
          <w:kern w:val="44"/>
          <w:sz w:val="36"/>
          <w:szCs w:val="36"/>
          <w:lang w:val="en-US" w:eastAsia="zh-CN" w:bidi="ar-SA"/>
        </w:rPr>
        <w:t>前  言</w:t>
      </w:r>
      <w:bookmarkEnd w:id="7"/>
      <w:bookmarkEnd w:id="8"/>
    </w:p>
    <w:p w14:paraId="222B8D83">
      <w:pPr>
        <w:spacing w:line="594" w:lineRule="exact"/>
        <w:ind w:firstLine="600" w:firstLineChars="200"/>
        <w:rPr>
          <w:rFonts w:hint="default"/>
          <w:color w:val="auto"/>
          <w:sz w:val="28"/>
          <w:szCs w:val="28"/>
          <w:lang w:val="en-US" w:eastAsia="zh-CN"/>
        </w:rPr>
      </w:pPr>
      <w:r>
        <w:rPr>
          <w:rFonts w:hint="eastAsia" w:ascii="宋体" w:hAnsi="宋体" w:eastAsia="宋体" w:cs="宋体"/>
          <w:b w:val="0"/>
          <w:bCs/>
          <w:snapToGrid w:val="0"/>
          <w:color w:val="auto"/>
          <w:spacing w:val="10"/>
          <w:kern w:val="2"/>
          <w:sz w:val="28"/>
          <w:szCs w:val="28"/>
          <w:lang w:val="en-US" w:eastAsia="zh-CN" w:bidi="ar-SA"/>
        </w:rPr>
        <w:t>水土保持是实现生态文明建设的重要基础，是新时代治水事业的一项根本措施。</w:t>
      </w:r>
      <w:r>
        <w:rPr>
          <w:rFonts w:hint="eastAsia"/>
          <w:color w:val="auto"/>
          <w:sz w:val="28"/>
          <w:szCs w:val="28"/>
          <w:lang w:val="en-US" w:eastAsia="zh-CN"/>
        </w:rPr>
        <w:t>“十三五”时期，贵州省以习近平生态文明思想引领美丽中国建设，</w:t>
      </w:r>
      <w:r>
        <w:rPr>
          <w:color w:val="auto"/>
          <w:sz w:val="28"/>
          <w:szCs w:val="28"/>
        </w:rPr>
        <w:t>深入贯彻落实</w:t>
      </w:r>
      <w:r>
        <w:rPr>
          <w:rFonts w:hint="eastAsia"/>
          <w:color w:val="auto"/>
          <w:sz w:val="28"/>
          <w:szCs w:val="28"/>
          <w:lang w:val="en-US" w:eastAsia="zh-CN"/>
        </w:rPr>
        <w:t>十六字治水方针</w:t>
      </w:r>
      <w:r>
        <w:rPr>
          <w:color w:val="auto"/>
          <w:sz w:val="28"/>
          <w:szCs w:val="28"/>
        </w:rPr>
        <w:t>，牢固树立“绿水青山就是金山银山”</w:t>
      </w:r>
      <w:r>
        <w:rPr>
          <w:rFonts w:hint="eastAsia"/>
          <w:color w:val="auto"/>
          <w:sz w:val="28"/>
          <w:szCs w:val="28"/>
          <w:lang w:val="en-US" w:eastAsia="zh-CN"/>
        </w:rPr>
        <w:t>的</w:t>
      </w:r>
      <w:r>
        <w:rPr>
          <w:color w:val="auto"/>
          <w:sz w:val="28"/>
          <w:szCs w:val="28"/>
        </w:rPr>
        <w:t>生态发展理念，</w:t>
      </w:r>
      <w:r>
        <w:rPr>
          <w:rFonts w:hint="eastAsia"/>
          <w:color w:val="auto"/>
          <w:sz w:val="28"/>
          <w:szCs w:val="28"/>
          <w:lang w:val="en-US" w:eastAsia="zh-CN"/>
        </w:rPr>
        <w:t>紧紧围绕省委省政府</w:t>
      </w:r>
      <w:r>
        <w:rPr>
          <w:color w:val="auto"/>
          <w:sz w:val="28"/>
          <w:szCs w:val="28"/>
        </w:rPr>
        <w:t>全力实施大扶贫、大数据、大生态三大战略行动</w:t>
      </w:r>
      <w:r>
        <w:rPr>
          <w:rFonts w:hint="eastAsia"/>
          <w:color w:val="auto"/>
          <w:sz w:val="28"/>
          <w:szCs w:val="28"/>
          <w:lang w:val="en-US" w:eastAsia="zh-CN"/>
        </w:rPr>
        <w:t>，</w:t>
      </w:r>
      <w:r>
        <w:rPr>
          <w:color w:val="auto"/>
          <w:sz w:val="28"/>
          <w:szCs w:val="28"/>
        </w:rPr>
        <w:t>科学推进水土流失综合治理，</w:t>
      </w:r>
      <w:r>
        <w:rPr>
          <w:rFonts w:hint="eastAsia"/>
          <w:color w:val="auto"/>
          <w:sz w:val="28"/>
          <w:szCs w:val="28"/>
        </w:rPr>
        <w:t>实现水土流失面积强度</w:t>
      </w:r>
      <w:r>
        <w:rPr>
          <w:rFonts w:hint="eastAsia"/>
          <w:color w:val="auto"/>
          <w:sz w:val="28"/>
          <w:szCs w:val="28"/>
          <w:lang w:eastAsia="zh-CN"/>
        </w:rPr>
        <w:t>双</w:t>
      </w:r>
      <w:r>
        <w:rPr>
          <w:rFonts w:hint="eastAsia"/>
          <w:color w:val="auto"/>
          <w:sz w:val="28"/>
          <w:szCs w:val="28"/>
        </w:rPr>
        <w:t>下降</w:t>
      </w:r>
      <w:r>
        <w:rPr>
          <w:rFonts w:hint="eastAsia"/>
          <w:color w:val="auto"/>
          <w:sz w:val="28"/>
          <w:szCs w:val="28"/>
          <w:lang w:eastAsia="zh-CN"/>
        </w:rPr>
        <w:t>，全省水土流失状况整体向好，生态环境持续改善，</w:t>
      </w:r>
      <w:r>
        <w:rPr>
          <w:color w:val="auto"/>
          <w:sz w:val="28"/>
          <w:szCs w:val="28"/>
        </w:rPr>
        <w:t>持续开展全省水土流失动态监测，</w:t>
      </w:r>
      <w:r>
        <w:rPr>
          <w:rFonts w:hint="default"/>
          <w:color w:val="auto"/>
          <w:sz w:val="28"/>
          <w:szCs w:val="28"/>
          <w:lang w:val="en-US" w:eastAsia="zh-CN"/>
        </w:rPr>
        <w:t>全国率先推进智慧水土保持建设，全面应用卫星遥感技术手段，常态化开展生产建设项目水土保持“天地一体化”遥感监管”，持续推进水土保持“放管服”改革</w:t>
      </w:r>
      <w:r>
        <w:rPr>
          <w:rFonts w:hint="eastAsia"/>
          <w:color w:val="auto"/>
          <w:sz w:val="28"/>
          <w:szCs w:val="28"/>
          <w:lang w:val="en-US" w:eastAsia="zh-CN"/>
        </w:rPr>
        <w:t>，</w:t>
      </w:r>
      <w:r>
        <w:rPr>
          <w:color w:val="auto"/>
          <w:sz w:val="28"/>
          <w:szCs w:val="28"/>
        </w:rPr>
        <w:t>加大对违法违规项目的查处力度，从严审查审批生产建设项目水土保持方案，</w:t>
      </w:r>
      <w:r>
        <w:rPr>
          <w:rFonts w:hint="eastAsia"/>
          <w:color w:val="auto"/>
          <w:sz w:val="28"/>
          <w:szCs w:val="28"/>
          <w:lang w:val="en-US" w:eastAsia="zh-CN"/>
        </w:rPr>
        <w:t>建立健全</w:t>
      </w:r>
      <w:r>
        <w:rPr>
          <w:rFonts w:hint="default"/>
          <w:color w:val="auto"/>
          <w:sz w:val="28"/>
          <w:szCs w:val="28"/>
          <w:lang w:val="en-US" w:eastAsia="zh-CN"/>
        </w:rPr>
        <w:t>区域水土保持评价、</w:t>
      </w:r>
      <w:r>
        <w:rPr>
          <w:rFonts w:hint="eastAsia"/>
          <w:color w:val="auto"/>
          <w:sz w:val="28"/>
          <w:szCs w:val="28"/>
          <w:lang w:val="en-US" w:eastAsia="zh-CN"/>
        </w:rPr>
        <w:t>目标责任考核制度，</w:t>
      </w:r>
      <w:r>
        <w:rPr>
          <w:color w:val="auto"/>
          <w:sz w:val="28"/>
          <w:szCs w:val="28"/>
        </w:rPr>
        <w:t>圆满完成各年度工作任务，水土保持工作成效显著</w:t>
      </w:r>
      <w:r>
        <w:rPr>
          <w:rFonts w:hint="eastAsia"/>
          <w:color w:val="auto"/>
          <w:sz w:val="28"/>
          <w:szCs w:val="28"/>
          <w:lang w:eastAsia="zh-CN"/>
        </w:rPr>
        <w:t>，</w:t>
      </w:r>
      <w:r>
        <w:rPr>
          <w:rFonts w:hint="default"/>
          <w:color w:val="auto"/>
          <w:sz w:val="28"/>
          <w:szCs w:val="28"/>
          <w:lang w:val="en-US" w:eastAsia="zh-CN"/>
        </w:rPr>
        <w:t>为贵州决战脱贫攻坚、决胜全面小康提供有力支撑。</w:t>
      </w:r>
    </w:p>
    <w:p w14:paraId="0CB26320">
      <w:pPr>
        <w:spacing w:line="594" w:lineRule="exact"/>
        <w:ind w:firstLine="560" w:firstLineChars="200"/>
        <w:rPr>
          <w:rFonts w:hint="eastAsia"/>
          <w:color w:val="auto"/>
          <w:sz w:val="28"/>
          <w:szCs w:val="28"/>
          <w:lang w:val="en-US" w:eastAsia="zh-CN"/>
        </w:rPr>
      </w:pPr>
      <w:r>
        <w:rPr>
          <w:rFonts w:hint="default"/>
          <w:color w:val="auto"/>
          <w:sz w:val="28"/>
          <w:szCs w:val="28"/>
          <w:lang w:val="en-US" w:eastAsia="zh-CN"/>
        </w:rPr>
        <w:t>“十四五”时期是贵州省谱写高质量发展新篇章、开启社会主义现代化建设新征程的关键时期，是全面落实习近平总书记赋予贵州新定位、新使命的重要阶段。</w:t>
      </w:r>
      <w:r>
        <w:rPr>
          <w:rFonts w:hint="eastAsia"/>
          <w:color w:val="auto"/>
          <w:sz w:val="28"/>
          <w:szCs w:val="28"/>
          <w:lang w:val="en-US" w:eastAsia="zh-CN"/>
        </w:rPr>
        <w:t>必须加快水土流失治理进程，进一步推进水土保持治理体系和治理能力现代化，为经济社会发展、生态文明建设和水安全保障提供支撑。</w:t>
      </w:r>
    </w:p>
    <w:p w14:paraId="79673E11">
      <w:pPr>
        <w:spacing w:line="594" w:lineRule="exact"/>
        <w:ind w:firstLine="560" w:firstLineChars="200"/>
        <w:rPr>
          <w:rFonts w:hint="default"/>
          <w:color w:val="auto"/>
          <w:sz w:val="28"/>
          <w:szCs w:val="28"/>
          <w:lang w:val="en-US" w:eastAsia="zh-CN"/>
        </w:rPr>
      </w:pPr>
      <w:r>
        <w:rPr>
          <w:rFonts w:hint="default"/>
          <w:color w:val="auto"/>
          <w:sz w:val="28"/>
          <w:szCs w:val="28"/>
          <w:lang w:val="en-US" w:eastAsia="zh-CN"/>
        </w:rPr>
        <w:t>《贵州省水土保持“十四五”规划》</w:t>
      </w:r>
      <w:r>
        <w:rPr>
          <w:rFonts w:hint="eastAsia"/>
          <w:color w:val="auto"/>
          <w:sz w:val="28"/>
          <w:szCs w:val="28"/>
          <w:lang w:val="en-US" w:eastAsia="zh-CN"/>
        </w:rPr>
        <w:t>是以习近平新时代中国特色社会主义思想为指导，全面贯彻落实党的十九大和十九届二中、三中、四中、五中、六中全会精神，以及习近平总书记视察贵州重要讲话精神和对贵州工作系列重要指示批示要求，</w:t>
      </w:r>
      <w:r>
        <w:rPr>
          <w:rFonts w:hint="default" w:ascii="Times New Roman" w:hAnsi="Times New Roman" w:cs="Times New Roman"/>
          <w:color w:val="auto"/>
          <w:kern w:val="0"/>
          <w:sz w:val="28"/>
          <w:szCs w:val="28"/>
          <w:lang w:val="en-US" w:eastAsia="zh-CN" w:bidi="en-US"/>
        </w:rPr>
        <w:t>积极践行</w:t>
      </w:r>
      <w:r>
        <w:rPr>
          <w:rFonts w:hint="default" w:ascii="Times New Roman" w:hAnsi="Times New Roman" w:cs="Times New Roman" w:eastAsiaTheme="minorEastAsia"/>
          <w:color w:val="auto"/>
          <w:kern w:val="0"/>
          <w:sz w:val="28"/>
          <w:szCs w:val="28"/>
          <w:lang w:eastAsia="zh-CN" w:bidi="en-US"/>
        </w:rPr>
        <w:t>《贵州省国民经济和社会发展第十四个五年规划》</w:t>
      </w:r>
      <w:r>
        <w:rPr>
          <w:rFonts w:hint="eastAsia" w:ascii="Times New Roman" w:hAnsi="Times New Roman" w:cs="Times New Roman" w:eastAsiaTheme="minorEastAsia"/>
          <w:color w:val="auto"/>
          <w:kern w:val="0"/>
          <w:sz w:val="28"/>
          <w:szCs w:val="28"/>
          <w:lang w:val="en-US" w:eastAsia="zh-CN" w:bidi="en-US"/>
        </w:rPr>
        <w:t>提出的</w:t>
      </w:r>
      <w:r>
        <w:rPr>
          <w:rFonts w:hint="default" w:ascii="Times New Roman" w:hAnsi="Times New Roman" w:cs="Times New Roman" w:eastAsiaTheme="minorEastAsia"/>
          <w:b w:val="0"/>
          <w:snapToGrid/>
          <w:color w:val="auto"/>
          <w:kern w:val="0"/>
          <w:sz w:val="28"/>
          <w:szCs w:val="28"/>
          <w:lang w:val="en-US" w:eastAsia="zh-CN" w:bidi="en-US"/>
        </w:rPr>
        <w:t>“一二三四”总体</w:t>
      </w:r>
      <w:r>
        <w:rPr>
          <w:rFonts w:hint="eastAsia" w:ascii="Times New Roman" w:hAnsi="Times New Roman" w:cs="Times New Roman"/>
          <w:b w:val="0"/>
          <w:snapToGrid/>
          <w:color w:val="auto"/>
          <w:kern w:val="0"/>
          <w:sz w:val="28"/>
          <w:szCs w:val="28"/>
          <w:lang w:val="en-US" w:eastAsia="zh-CN" w:bidi="en-US"/>
        </w:rPr>
        <w:t>布局</w:t>
      </w:r>
      <w:r>
        <w:rPr>
          <w:rFonts w:hint="default" w:ascii="Times New Roman" w:hAnsi="Times New Roman" w:cs="Times New Roman" w:eastAsiaTheme="minorEastAsia"/>
          <w:b w:val="0"/>
          <w:snapToGrid/>
          <w:color w:val="auto"/>
          <w:kern w:val="0"/>
          <w:sz w:val="28"/>
          <w:szCs w:val="28"/>
          <w:lang w:val="en-US" w:eastAsia="zh-CN" w:bidi="en-US"/>
        </w:rPr>
        <w:t>思路</w:t>
      </w:r>
      <w:r>
        <w:rPr>
          <w:rFonts w:hint="eastAsia" w:ascii="Times New Roman" w:hAnsi="Times New Roman" w:cs="Times New Roman"/>
          <w:b w:val="0"/>
          <w:snapToGrid/>
          <w:color w:val="auto"/>
          <w:kern w:val="0"/>
          <w:sz w:val="28"/>
          <w:szCs w:val="28"/>
          <w:lang w:val="en-US" w:eastAsia="zh-CN" w:bidi="en-US"/>
        </w:rPr>
        <w:t>，按照</w:t>
      </w:r>
      <w:r>
        <w:rPr>
          <w:rFonts w:hint="default" w:ascii="Times New Roman" w:hAnsi="Times New Roman" w:cs="Times New Roman" w:eastAsiaTheme="minorEastAsia"/>
          <w:b w:val="0"/>
          <w:snapToGrid/>
          <w:color w:val="auto"/>
          <w:kern w:val="0"/>
          <w:sz w:val="28"/>
          <w:szCs w:val="28"/>
          <w:lang w:val="en-US" w:eastAsia="zh-CN" w:bidi="en-US"/>
        </w:rPr>
        <w:t>生态环境建设高质量发展、乡村振兴</w:t>
      </w:r>
      <w:r>
        <w:rPr>
          <w:rFonts w:hint="eastAsia" w:ascii="Times New Roman" w:hAnsi="Times New Roman" w:cs="Times New Roman"/>
          <w:b w:val="0"/>
          <w:snapToGrid/>
          <w:color w:val="auto"/>
          <w:kern w:val="0"/>
          <w:sz w:val="28"/>
          <w:szCs w:val="28"/>
          <w:lang w:val="en-US" w:eastAsia="zh-CN" w:bidi="en-US"/>
        </w:rPr>
        <w:t>、围绕</w:t>
      </w:r>
      <w:r>
        <w:rPr>
          <w:rFonts w:hint="eastAsia" w:ascii="Times New Roman" w:hAnsi="Times New Roman" w:cs="Times New Roman" w:eastAsiaTheme="minorEastAsia"/>
          <w:b w:val="0"/>
          <w:snapToGrid/>
          <w:color w:val="auto"/>
          <w:kern w:val="0"/>
          <w:sz w:val="28"/>
          <w:szCs w:val="28"/>
          <w:lang w:val="en-US" w:eastAsia="zh-CN" w:bidi="en-US"/>
        </w:rPr>
        <w:t>“四新”抓“四化”</w:t>
      </w:r>
      <w:r>
        <w:rPr>
          <w:rFonts w:hint="default" w:ascii="Times New Roman" w:hAnsi="Times New Roman" w:cs="Times New Roman" w:eastAsiaTheme="minorEastAsia"/>
          <w:b w:val="0"/>
          <w:snapToGrid/>
          <w:color w:val="auto"/>
          <w:kern w:val="0"/>
          <w:sz w:val="28"/>
          <w:szCs w:val="28"/>
          <w:lang w:val="en-US" w:eastAsia="zh-CN" w:bidi="en-US"/>
        </w:rPr>
        <w:t>等省委、省政府重大</w:t>
      </w:r>
      <w:r>
        <w:rPr>
          <w:rFonts w:hint="eastAsia" w:ascii="Times New Roman" w:hAnsi="Times New Roman" w:cs="Times New Roman"/>
          <w:b w:val="0"/>
          <w:snapToGrid/>
          <w:color w:val="auto"/>
          <w:kern w:val="0"/>
          <w:sz w:val="28"/>
          <w:szCs w:val="28"/>
          <w:lang w:val="en-US" w:eastAsia="zh-CN" w:bidi="en-US"/>
        </w:rPr>
        <w:t>战略</w:t>
      </w:r>
      <w:r>
        <w:rPr>
          <w:rFonts w:hint="default" w:ascii="Times New Roman" w:hAnsi="Times New Roman" w:cs="Times New Roman" w:eastAsiaTheme="minorEastAsia"/>
          <w:b w:val="0"/>
          <w:snapToGrid/>
          <w:color w:val="auto"/>
          <w:kern w:val="0"/>
          <w:sz w:val="28"/>
          <w:szCs w:val="28"/>
          <w:lang w:val="en-US" w:eastAsia="zh-CN" w:bidi="en-US"/>
        </w:rPr>
        <w:t>部署，</w:t>
      </w:r>
      <w:r>
        <w:rPr>
          <w:rFonts w:hint="eastAsia"/>
          <w:color w:val="auto"/>
          <w:sz w:val="28"/>
          <w:szCs w:val="28"/>
          <w:lang w:val="en-US" w:eastAsia="zh-CN"/>
        </w:rPr>
        <w:t>通过全面总结“十三五”水土保持工作成效，深入分析水土保持高质量发展面临的新形势，以防治人为水土流失、提升区域水土保持功能、提高生态和人居环境质量为根本出发点，提出了贵州省“十四五”水土保持工作的指导思想、发展目标、水土流失预防治理、监测和信息化建设、科技支撑能力建设等内容。</w:t>
      </w:r>
      <w:r>
        <w:rPr>
          <w:rFonts w:hint="default"/>
          <w:color w:val="auto"/>
          <w:sz w:val="28"/>
          <w:szCs w:val="28"/>
          <w:lang w:val="en-US" w:eastAsia="zh-CN"/>
        </w:rPr>
        <w:t>范围涉及全省9个市（州）的88个县（市、区、特区），基准年为2020年，</w:t>
      </w:r>
      <w:r>
        <w:rPr>
          <w:rFonts w:hint="eastAsia"/>
          <w:color w:val="auto"/>
          <w:sz w:val="28"/>
          <w:szCs w:val="28"/>
          <w:lang w:val="en-US" w:eastAsia="zh-CN"/>
        </w:rPr>
        <w:t>规划时段</w:t>
      </w:r>
      <w:r>
        <w:rPr>
          <w:rFonts w:hint="default"/>
          <w:color w:val="auto"/>
          <w:sz w:val="28"/>
          <w:szCs w:val="28"/>
          <w:lang w:val="en-US" w:eastAsia="zh-CN"/>
        </w:rPr>
        <w:t>为2021年至2025年</w:t>
      </w:r>
      <w:r>
        <w:rPr>
          <w:rFonts w:hint="eastAsia"/>
          <w:color w:val="auto"/>
          <w:sz w:val="28"/>
          <w:szCs w:val="28"/>
          <w:lang w:val="en-US" w:eastAsia="zh-CN"/>
        </w:rPr>
        <w:t>。主要预期目标为</w:t>
      </w:r>
      <w:r>
        <w:rPr>
          <w:rFonts w:hint="default"/>
          <w:color w:val="auto"/>
          <w:sz w:val="28"/>
          <w:szCs w:val="28"/>
          <w:lang w:val="en-US" w:eastAsia="zh-CN"/>
        </w:rPr>
        <w:t>新增水土流失预防面积7800平方公里</w:t>
      </w:r>
      <w:r>
        <w:rPr>
          <w:rFonts w:hint="eastAsia"/>
          <w:color w:val="auto"/>
          <w:sz w:val="28"/>
          <w:szCs w:val="28"/>
          <w:lang w:val="en-US" w:eastAsia="zh-CN"/>
        </w:rPr>
        <w:t>，</w:t>
      </w:r>
      <w:r>
        <w:rPr>
          <w:rFonts w:hint="default"/>
          <w:color w:val="auto"/>
          <w:sz w:val="28"/>
          <w:szCs w:val="28"/>
          <w:lang w:val="en-US" w:eastAsia="zh-CN"/>
        </w:rPr>
        <w:t>新增治理面积14900平方公里，水土保持率提高至75.05%。</w:t>
      </w:r>
    </w:p>
    <w:p w14:paraId="0882D6D9">
      <w:pPr>
        <w:spacing w:line="594" w:lineRule="exact"/>
        <w:ind w:firstLine="560" w:firstLineChars="200"/>
        <w:rPr>
          <w:rFonts w:hint="default"/>
          <w:color w:val="auto"/>
          <w:lang w:val="en-US" w:eastAsia="zh-CN"/>
        </w:rPr>
      </w:pPr>
      <w:r>
        <w:rPr>
          <w:rFonts w:hint="eastAsia"/>
          <w:color w:val="auto"/>
          <w:sz w:val="28"/>
          <w:szCs w:val="28"/>
          <w:lang w:val="en-US" w:eastAsia="zh-CN"/>
        </w:rPr>
        <w:t>《</w:t>
      </w:r>
      <w:r>
        <w:rPr>
          <w:rFonts w:hint="default"/>
          <w:color w:val="auto"/>
          <w:sz w:val="28"/>
          <w:szCs w:val="28"/>
          <w:lang w:val="en-US" w:eastAsia="zh-CN"/>
        </w:rPr>
        <w:t>贵州省水土保持“十四五”规划</w:t>
      </w:r>
      <w:r>
        <w:rPr>
          <w:rFonts w:hint="eastAsia"/>
          <w:color w:val="auto"/>
          <w:sz w:val="28"/>
          <w:szCs w:val="28"/>
          <w:lang w:val="en-US" w:eastAsia="zh-CN"/>
        </w:rPr>
        <w:t>》是指导"十四五"水土保持工作的重要依据，也是我省深化生态文明创建，高水平建设新时代美丽贵州的重要支撑和行动纲领之一。《规划》在编制过程中得到了省</w:t>
      </w:r>
      <w:r>
        <w:rPr>
          <w:rFonts w:hint="default"/>
          <w:color w:val="auto"/>
          <w:sz w:val="28"/>
          <w:szCs w:val="28"/>
          <w:lang w:val="en-US" w:eastAsia="zh-CN"/>
        </w:rPr>
        <w:t>发展改革、财政、生态环境、自然资源、农业农村、林业等有关部门</w:t>
      </w:r>
      <w:r>
        <w:rPr>
          <w:rFonts w:hint="eastAsia"/>
          <w:color w:val="auto"/>
          <w:sz w:val="28"/>
          <w:szCs w:val="28"/>
          <w:lang w:val="en-US" w:eastAsia="zh-CN"/>
        </w:rPr>
        <w:t>大力支持和帮助，在此表示由衷的感谢！</w:t>
      </w:r>
    </w:p>
    <w:p w14:paraId="13A26359">
      <w:pPr>
        <w:pStyle w:val="18"/>
        <w:rPr>
          <w:rFonts w:hint="eastAsia" w:ascii="宋体" w:hAnsi="宋体" w:eastAsia="宋体" w:cs="宋体"/>
          <w:b w:val="0"/>
          <w:bCs/>
          <w:snapToGrid w:val="0"/>
          <w:color w:val="auto"/>
          <w:spacing w:val="10"/>
          <w:sz w:val="28"/>
          <w:szCs w:val="28"/>
          <w:lang w:val="en-US" w:eastAsia="zh-CN"/>
        </w:rPr>
      </w:pPr>
    </w:p>
    <w:p w14:paraId="04D61805">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宋体" w:cs="Times New Roman"/>
          <w:b w:val="0"/>
          <w:bCs/>
          <w:snapToGrid w:val="0"/>
          <w:color w:val="auto"/>
          <w:spacing w:val="10"/>
          <w:sz w:val="28"/>
          <w:szCs w:val="28"/>
          <w:lang w:val="en-US" w:eastAsia="zh-CN"/>
        </w:rPr>
      </w:pPr>
    </w:p>
    <w:p w14:paraId="03ECE58C">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宋体" w:cs="Times New Roman"/>
          <w:b w:val="0"/>
          <w:bCs/>
          <w:snapToGrid w:val="0"/>
          <w:color w:val="auto"/>
          <w:spacing w:val="10"/>
          <w:sz w:val="28"/>
          <w:szCs w:val="28"/>
          <w:lang w:val="en-US" w:eastAsia="zh-CN"/>
        </w:rPr>
      </w:pPr>
    </w:p>
    <w:p w14:paraId="3CB9D8A8">
      <w:pPr>
        <w:pStyle w:val="18"/>
        <w:ind w:left="0" w:leftChars="0" w:firstLine="0" w:firstLineChars="0"/>
        <w:rPr>
          <w:rFonts w:hint="eastAsia" w:ascii="宋体" w:hAnsi="宋体" w:eastAsia="宋体" w:cs="宋体"/>
          <w:b w:val="0"/>
          <w:bCs/>
          <w:snapToGrid w:val="0"/>
          <w:color w:val="auto"/>
          <w:spacing w:val="10"/>
          <w:sz w:val="28"/>
          <w:szCs w:val="28"/>
          <w:lang w:val="en-US" w:eastAsia="zh-CN"/>
        </w:rPr>
      </w:pPr>
    </w:p>
    <w:p w14:paraId="3394692C">
      <w:pPr>
        <w:pStyle w:val="12"/>
        <w:rPr>
          <w:rFonts w:hint="eastAsia"/>
          <w:color w:val="auto"/>
          <w:lang w:val="en-US" w:eastAsia="zh-CN"/>
        </w:rPr>
      </w:pPr>
    </w:p>
    <w:p w14:paraId="609B07BA">
      <w:pPr>
        <w:pStyle w:val="12"/>
        <w:rPr>
          <w:rFonts w:hint="eastAsia" w:ascii="宋体" w:hAnsi="宋体" w:eastAsia="宋体" w:cs="宋体"/>
          <w:b w:val="0"/>
          <w:bCs/>
          <w:snapToGrid w:val="0"/>
          <w:color w:val="auto"/>
          <w:spacing w:val="10"/>
          <w:sz w:val="28"/>
          <w:szCs w:val="28"/>
          <w:lang w:val="en-US" w:eastAsia="zh-CN"/>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D8E6056">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val="0"/>
          <w:bCs/>
          <w:color w:val="auto"/>
          <w:kern w:val="44"/>
          <w:sz w:val="36"/>
          <w:szCs w:val="36"/>
          <w:lang w:val="en-US" w:eastAsia="zh-CN" w:bidi="ar-SA"/>
        </w:rPr>
      </w:pPr>
      <w:bookmarkStart w:id="9" w:name="_Toc25573"/>
      <w:bookmarkStart w:id="10" w:name="_Toc16857"/>
      <w:bookmarkStart w:id="11" w:name="_Toc7613"/>
      <w:bookmarkStart w:id="12" w:name="_Toc7711"/>
      <w:bookmarkStart w:id="13" w:name="_Toc26714"/>
      <w:bookmarkStart w:id="14" w:name="_Toc464487936"/>
      <w:bookmarkStart w:id="15" w:name="_Toc464219988"/>
      <w:bookmarkStart w:id="16" w:name="_Toc2861"/>
      <w:bookmarkStart w:id="17" w:name="_Toc83239422"/>
      <w:bookmarkStart w:id="18" w:name="_Toc22896"/>
      <w:r>
        <w:rPr>
          <w:rFonts w:hint="eastAsia" w:ascii="方正小标宋_GBK" w:hAnsi="Times New Roman" w:eastAsia="方正小标宋_GBK" w:cs="Times New Roman"/>
          <w:b/>
          <w:bCs w:val="0"/>
          <w:color w:val="auto"/>
          <w:kern w:val="44"/>
          <w:sz w:val="36"/>
          <w:szCs w:val="36"/>
          <w:lang w:val="en-US" w:eastAsia="zh-CN" w:bidi="ar-SA"/>
        </w:rPr>
        <w:t>第一章 基本情况</w:t>
      </w:r>
      <w:bookmarkEnd w:id="9"/>
      <w:bookmarkEnd w:id="10"/>
      <w:bookmarkEnd w:id="11"/>
    </w:p>
    <w:p w14:paraId="40396AB4">
      <w:pPr>
        <w:spacing w:line="360" w:lineRule="auto"/>
        <w:ind w:firstLine="56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贵州省地处西南腹地、云贵高原东部，地势西高东低，介于东经103°36′～109°35′、北纬24°37′～29°13′之间，东毗湖南，西连云南，南邻广西，北接四川和重庆，东西长约595公里，南北宽约509公里，土地总面积17.6</w:t>
      </w:r>
      <w:r>
        <w:rPr>
          <w:rFonts w:hint="default" w:ascii="Times New Roman" w:hAnsi="Times New Roman" w:eastAsia="宋体" w:cs="Times New Roman"/>
          <w:color w:val="auto"/>
          <w:sz w:val="28"/>
          <w:szCs w:val="28"/>
          <w:lang w:val="en-US" w:eastAsia="zh-CN"/>
        </w:rPr>
        <w:t>2</w:t>
      </w:r>
      <w:r>
        <w:rPr>
          <w:rFonts w:hint="default" w:ascii="Times New Roman" w:hAnsi="Times New Roman" w:eastAsia="宋体" w:cs="Times New Roman"/>
          <w:color w:val="auto"/>
          <w:sz w:val="28"/>
          <w:szCs w:val="28"/>
        </w:rPr>
        <w:t>万平方公里，占全国土地总面积的1.8%。</w:t>
      </w:r>
    </w:p>
    <w:p w14:paraId="19367F7D">
      <w:pPr>
        <w:pStyle w:val="7"/>
        <w:bidi w:val="0"/>
        <w:rPr>
          <w:rFonts w:hint="default" w:ascii="Times New Roman" w:hAnsi="Times New Roman" w:eastAsia="黑体" w:cs="Times New Roman"/>
          <w:color w:val="auto"/>
          <w:sz w:val="28"/>
          <w:szCs w:val="28"/>
          <w:lang w:eastAsia="zh-CN"/>
        </w:rPr>
      </w:pPr>
      <w:bookmarkStart w:id="19" w:name="_Toc8768"/>
      <w:bookmarkStart w:id="20" w:name="_Toc4970"/>
      <w:bookmarkStart w:id="21" w:name="_Toc5006"/>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自然</w:t>
      </w:r>
      <w:r>
        <w:rPr>
          <w:rFonts w:hint="default" w:ascii="Times New Roman" w:hAnsi="Times New Roman" w:eastAsia="黑体" w:cs="Times New Roman"/>
          <w:color w:val="auto"/>
          <w:sz w:val="32"/>
          <w:szCs w:val="32"/>
          <w:lang w:val="en-US" w:eastAsia="zh-CN"/>
        </w:rPr>
        <w:t>环境</w:t>
      </w:r>
      <w:bookmarkEnd w:id="19"/>
      <w:bookmarkEnd w:id="20"/>
      <w:bookmarkEnd w:id="21"/>
    </w:p>
    <w:p w14:paraId="3E0DB441">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22" w:name="_Toc13336"/>
      <w:r>
        <w:rPr>
          <w:rFonts w:hint="eastAsia" w:ascii="楷体_GB2312" w:hAnsi="楷体_GB2312" w:eastAsia="楷体_GB2312" w:cs="楷体_GB2312"/>
          <w:b/>
          <w:bCs w:val="0"/>
          <w:snapToGrid w:val="0"/>
          <w:color w:val="auto"/>
          <w:kern w:val="2"/>
          <w:sz w:val="30"/>
          <w:szCs w:val="30"/>
          <w:lang w:val="en-US" w:eastAsia="zh-CN" w:bidi="ar-SA"/>
        </w:rPr>
        <w:t>（一）地质地貌</w:t>
      </w:r>
      <w:bookmarkEnd w:id="22"/>
    </w:p>
    <w:p w14:paraId="097D8E43">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贵州</w:t>
      </w:r>
      <w:r>
        <w:rPr>
          <w:rFonts w:hint="default" w:ascii="Times New Roman" w:hAnsi="Times New Roman" w:cs="Times New Roman"/>
          <w:color w:val="auto"/>
          <w:sz w:val="28"/>
          <w:szCs w:val="28"/>
        </w:rPr>
        <w:t>地质构造主要属扬子准地台上扬子台褶皱带，西北与四川台拗相接，东、南分别向江南台隆和华南褶皱系过渡。</w:t>
      </w:r>
    </w:p>
    <w:p w14:paraId="0D2288DD">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地貌</w:t>
      </w:r>
      <w:r>
        <w:rPr>
          <w:rFonts w:hint="default" w:ascii="Times New Roman" w:hAnsi="Times New Roman" w:cs="Times New Roman"/>
          <w:color w:val="auto"/>
          <w:sz w:val="28"/>
          <w:szCs w:val="28"/>
        </w:rPr>
        <w:t>以高原山地为主，地势西高东低，基本轮廓由纬向三级阶梯与经向两面斜坡构成，平均海拔1100米。境内地势起伏较大，岩溶分布广泛、发育强烈，</w:t>
      </w:r>
      <w:r>
        <w:rPr>
          <w:rFonts w:hint="default" w:ascii="Times New Roman" w:hAnsi="Times New Roman" w:cs="Times New Roman"/>
          <w:color w:val="auto"/>
          <w:sz w:val="28"/>
          <w:szCs w:val="28"/>
          <w:highlight w:val="none"/>
          <w:lang w:val="en-US" w:eastAsia="zh-CN"/>
        </w:rPr>
        <w:t>是典型的喀斯特山区，</w:t>
      </w:r>
      <w:r>
        <w:rPr>
          <w:rFonts w:hint="default" w:ascii="Times New Roman" w:hAnsi="Times New Roman" w:cs="Times New Roman"/>
          <w:color w:val="auto"/>
          <w:sz w:val="28"/>
          <w:szCs w:val="28"/>
          <w:highlight w:val="none"/>
        </w:rPr>
        <w:t>岩溶出露面积占全省土地总面积的61.92%，</w:t>
      </w:r>
      <w:r>
        <w:rPr>
          <w:rFonts w:hint="default" w:ascii="Times New Roman" w:hAnsi="Times New Roman" w:cs="Times New Roman"/>
          <w:color w:val="auto"/>
          <w:sz w:val="28"/>
          <w:szCs w:val="28"/>
        </w:rPr>
        <w:t>石多土少，易受侵蚀，极易造成水土流失发生、发展和逆向演变。</w:t>
      </w:r>
    </w:p>
    <w:p w14:paraId="4D18904C">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23" w:name="_Toc21338"/>
      <w:r>
        <w:rPr>
          <w:rFonts w:hint="eastAsia" w:ascii="楷体_GB2312" w:hAnsi="楷体_GB2312" w:eastAsia="楷体_GB2312" w:cs="楷体_GB2312"/>
          <w:b/>
          <w:bCs w:val="0"/>
          <w:snapToGrid w:val="0"/>
          <w:color w:val="auto"/>
          <w:kern w:val="2"/>
          <w:sz w:val="30"/>
          <w:szCs w:val="30"/>
          <w:lang w:val="en-US" w:eastAsia="zh-CN" w:bidi="ar-SA"/>
        </w:rPr>
        <w:t>（二）气象条件</w:t>
      </w:r>
      <w:bookmarkEnd w:id="23"/>
    </w:p>
    <w:p w14:paraId="256FB9F3">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贵州气候属亚热带季风湿润气候，全省多年平均气温15.6℃。全省多年平均降水量1178.6米，主要集中在5～10月，多阵性降水，暴雨多，强度大</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空间分布呈由南向北、由东至西递减趋势。</w:t>
      </w:r>
    </w:p>
    <w:p w14:paraId="62ADCD69">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24" w:name="_Toc28002"/>
      <w:r>
        <w:rPr>
          <w:rFonts w:hint="eastAsia" w:ascii="楷体_GB2312" w:hAnsi="楷体_GB2312" w:eastAsia="楷体_GB2312" w:cs="楷体_GB2312"/>
          <w:b/>
          <w:bCs w:val="0"/>
          <w:snapToGrid w:val="0"/>
          <w:color w:val="auto"/>
          <w:kern w:val="2"/>
          <w:sz w:val="30"/>
          <w:szCs w:val="30"/>
          <w:lang w:val="en-US" w:eastAsia="zh-CN" w:bidi="ar-SA"/>
        </w:rPr>
        <w:t>（三）河流水系</w:t>
      </w:r>
      <w:bookmarkEnd w:id="24"/>
    </w:p>
    <w:p w14:paraId="1C52459B">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贵州位于长江和珠江两大流域上游，是长江、珠江重要的生态安全屏障。境内河流众多，共有河流4697条，流域面积50平方公里以上河流1059条。省内河流主要源于西部和中部山地，顺地势向北、东、南三面分流，以苗岭为分水岭，分属长江和珠江两大流域。全省</w:t>
      </w:r>
    </w:p>
    <w:p w14:paraId="4A60B68C">
      <w:pPr>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河网密布，多发源于西部高原，河网平均密度0.71公里/平方公里</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0"/>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，多年平均水资源总量为1062亿立方米，多年平均径流深为634毫米</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1"/>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水力资源丰富。以中部苗岭为分水岭，以北为长江流域，含乌江、沅江、牛栏江横江、赤水河綦江四大水系，流域面积11.58万平方公里，占比65.7%；以南为珠江流域，含南盘江、北盘江、红水河、柳江四大水系，流域面积6.04万平方公里，占比34.3%。主要河流有乌江（含三岔河和六冲河）、清水江、赤水河、舞阳河、芙蓉江、北盘江、南盘江黔桂界河、都柳江、蒙江等9条天然河道</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2"/>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w:t>
      </w:r>
    </w:p>
    <w:p w14:paraId="57A474AD">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25" w:name="_Toc1232"/>
      <w:r>
        <w:rPr>
          <w:rFonts w:hint="eastAsia" w:ascii="楷体_GB2312" w:hAnsi="楷体_GB2312" w:eastAsia="楷体_GB2312" w:cs="楷体_GB2312"/>
          <w:b/>
          <w:bCs w:val="0"/>
          <w:snapToGrid w:val="0"/>
          <w:color w:val="auto"/>
          <w:kern w:val="2"/>
          <w:sz w:val="30"/>
          <w:szCs w:val="30"/>
          <w:lang w:val="en-US" w:eastAsia="zh-CN" w:bidi="ar-SA"/>
        </w:rPr>
        <w:t>（四）土壤条件</w:t>
      </w:r>
      <w:bookmarkEnd w:id="25"/>
    </w:p>
    <w:p w14:paraId="68C3355D">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贵州土壤类型复杂多样，以黄壤为主，石灰土次之，其他还有红壤、黄棕壤和紫色土等土壤。黄壤集中分布于黔中、黔西北</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黔东南；石灰土广泛分布于石灰岩地区，以黔中、黔南分布最广；红壤主要分布于铜仁、黔东南</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黄棕壤分布于山地</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紫色土分布于黔北赤水、习水、仁怀一带。</w:t>
      </w:r>
    </w:p>
    <w:p w14:paraId="52372D67">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26" w:name="_Toc26409"/>
      <w:r>
        <w:rPr>
          <w:rFonts w:hint="eastAsia" w:ascii="楷体_GB2312" w:hAnsi="楷体_GB2312" w:eastAsia="楷体_GB2312" w:cs="楷体_GB2312"/>
          <w:b/>
          <w:bCs w:val="0"/>
          <w:snapToGrid w:val="0"/>
          <w:color w:val="auto"/>
          <w:kern w:val="2"/>
          <w:sz w:val="30"/>
          <w:szCs w:val="30"/>
          <w:lang w:val="en-US" w:eastAsia="zh-CN" w:bidi="ar-SA"/>
        </w:rPr>
        <w:t>（五）植被条件</w:t>
      </w:r>
      <w:bookmarkEnd w:id="26"/>
    </w:p>
    <w:p w14:paraId="31EEE196">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贵州植被属亚热带常绿落叶阔叶林，植被类型多样，包括针叶林、阔叶林、竹林、灌丛灌草丛、水生植被与沼泽植被等六大类型，植被具有明显的亚热带属性，种类繁多，区系成分复杂，地域差异和次生性较明显，全省森林覆盖率达61.51%</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3"/>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，草原综合植被盖度达88%。</w:t>
      </w:r>
    </w:p>
    <w:p w14:paraId="0310D623">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27" w:name="_Toc31398"/>
      <w:r>
        <w:rPr>
          <w:rFonts w:hint="eastAsia" w:ascii="楷体_GB2312" w:hAnsi="楷体_GB2312" w:eastAsia="楷体_GB2312" w:cs="楷体_GB2312"/>
          <w:b/>
          <w:bCs w:val="0"/>
          <w:snapToGrid w:val="0"/>
          <w:color w:val="auto"/>
          <w:kern w:val="2"/>
          <w:sz w:val="30"/>
          <w:szCs w:val="30"/>
          <w:lang w:val="en-US" w:eastAsia="zh-CN" w:bidi="ar-SA"/>
        </w:rPr>
        <w:t>（六）石漠化情况</w:t>
      </w:r>
      <w:bookmarkEnd w:id="27"/>
    </w:p>
    <w:p w14:paraId="13922ECF">
      <w:pPr>
        <w:keepNext w:val="0"/>
        <w:keepLines w:val="0"/>
        <w:widowControl/>
        <w:suppressLineNumbers w:val="0"/>
        <w:ind w:firstLine="560" w:firstLineChars="200"/>
        <w:jc w:val="left"/>
        <w:rPr>
          <w:rFonts w:hint="default" w:ascii="Times New Roman" w:hAnsi="Times New Roman" w:cs="Times New Roman"/>
          <w:color w:val="auto"/>
        </w:rPr>
      </w:pPr>
      <w:r>
        <w:rPr>
          <w:rFonts w:hint="default" w:ascii="Times New Roman" w:hAnsi="Times New Roman" w:cs="Times New Roman"/>
          <w:color w:val="auto"/>
          <w:sz w:val="28"/>
          <w:szCs w:val="28"/>
          <w:lang w:val="en-US" w:eastAsia="zh-CN"/>
        </w:rPr>
        <w:t>根据贵州第三次石漠化公报数据，截止2016 年底，全省岩溶地区石漠化土地面积 247.01万公顷，占全省国土面积的 14.02%。其中长江流域石漠化土地面积 145.41 万公顷，占全省石漠化土地面积的 58.87%；珠江流域石漠化土地面积101.6 万公顷，占 41.13%。轻度石漠化土地面积 93.42 万公顷，占全省石漠化土地面积的37.82%；中度石漠化土地面积 125.41 万公顷，占 50.77%；重度石漠化土地面积 25.64 万公顷，占 10.38%；极重度石漠化土地面积 2.54 万公顷，占 1.03%。重度和极重度石漠化主要分布在黔西南州、毕节市及安顺市。</w:t>
      </w:r>
    </w:p>
    <w:p w14:paraId="5A0DA653">
      <w:pPr>
        <w:pStyle w:val="7"/>
        <w:bidi w:val="0"/>
        <w:rPr>
          <w:rFonts w:hint="default" w:ascii="Times New Roman" w:hAnsi="Times New Roman" w:eastAsia="黑体" w:cs="Times New Roman"/>
          <w:color w:val="auto"/>
          <w:sz w:val="32"/>
          <w:szCs w:val="32"/>
          <w:lang w:val="en-US" w:eastAsia="zh-CN"/>
        </w:rPr>
      </w:pPr>
      <w:bookmarkStart w:id="28" w:name="_Toc13124"/>
      <w:bookmarkStart w:id="29" w:name="_Toc2277"/>
      <w:bookmarkStart w:id="30" w:name="_Toc8354"/>
      <w:r>
        <w:rPr>
          <w:rFonts w:hint="default" w:ascii="Times New Roman" w:hAnsi="Times New Roman" w:eastAsia="黑体" w:cs="Times New Roman"/>
          <w:color w:val="auto"/>
          <w:sz w:val="32"/>
          <w:szCs w:val="32"/>
          <w:lang w:val="en-US" w:eastAsia="zh-CN"/>
        </w:rPr>
        <w:t>二、社会经济</w:t>
      </w:r>
      <w:bookmarkEnd w:id="28"/>
      <w:bookmarkEnd w:id="29"/>
      <w:bookmarkEnd w:id="30"/>
    </w:p>
    <w:p w14:paraId="6F2E3672">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贵州省行政区划分为</w:t>
      </w:r>
      <w:r>
        <w:rPr>
          <w:rFonts w:hint="default" w:ascii="Times New Roman" w:hAnsi="Times New Roman" w:cs="Times New Roman"/>
          <w:color w:val="auto"/>
          <w:sz w:val="28"/>
          <w:szCs w:val="28"/>
        </w:rPr>
        <w:t>9个市（州）和88个县（市、区、特区）。全省常住人口3856.21万人，其中城镇人口2049.59万人，占年末常住人口比重为53.15%，乡村人口1806.62万人，占常住人口比重为46.85%。全省人口自然增长率5.80‰。贵州是典型的少数民族聚居区，全省分布有54个民族，</w:t>
      </w:r>
      <w:r>
        <w:rPr>
          <w:rFonts w:hint="default" w:ascii="Times New Roman" w:hAnsi="Times New Roman" w:cs="Times New Roman"/>
          <w:color w:val="auto"/>
          <w:sz w:val="28"/>
          <w:szCs w:val="28"/>
          <w:lang w:val="en-US" w:eastAsia="zh-CN"/>
        </w:rPr>
        <w:t>人</w:t>
      </w:r>
      <w:r>
        <w:rPr>
          <w:rFonts w:hint="default" w:ascii="Times New Roman" w:hAnsi="Times New Roman" w:cs="Times New Roman"/>
          <w:color w:val="auto"/>
          <w:sz w:val="28"/>
          <w:szCs w:val="28"/>
        </w:rPr>
        <w:t>口1405.03万人，占全省总人口的36.44%。</w:t>
      </w:r>
      <w:r>
        <w:rPr>
          <w:rFonts w:hint="default" w:ascii="Times New Roman" w:hAnsi="Times New Roman" w:cs="Times New Roman"/>
          <w:color w:val="auto"/>
          <w:sz w:val="28"/>
          <w:szCs w:val="28"/>
          <w:lang w:val="en-US" w:eastAsia="zh-CN"/>
        </w:rPr>
        <w:t>以</w:t>
      </w:r>
      <w:r>
        <w:rPr>
          <w:rFonts w:hint="default" w:ascii="Times New Roman" w:hAnsi="Times New Roman" w:cs="Times New Roman"/>
          <w:color w:val="auto"/>
          <w:sz w:val="28"/>
          <w:szCs w:val="28"/>
        </w:rPr>
        <w:t>苗族、布依族、土家族、侗族和彝族等5</w:t>
      </w:r>
      <w:r>
        <w:rPr>
          <w:rFonts w:hint="default" w:ascii="Times New Roman" w:hAnsi="Times New Roman" w:cs="Times New Roman"/>
          <w:color w:val="auto"/>
          <w:sz w:val="28"/>
          <w:szCs w:val="28"/>
          <w:lang w:val="en-US" w:eastAsia="zh-CN"/>
        </w:rPr>
        <w:t>个</w:t>
      </w:r>
      <w:r>
        <w:rPr>
          <w:rFonts w:hint="default" w:ascii="Times New Roman" w:hAnsi="Times New Roman" w:cs="Times New Roman"/>
          <w:color w:val="auto"/>
          <w:sz w:val="28"/>
          <w:szCs w:val="28"/>
        </w:rPr>
        <w:t>少数民族</w:t>
      </w:r>
      <w:r>
        <w:rPr>
          <w:rFonts w:hint="default" w:ascii="Times New Roman" w:hAnsi="Times New Roman" w:cs="Times New Roman"/>
          <w:color w:val="auto"/>
          <w:sz w:val="28"/>
          <w:szCs w:val="28"/>
          <w:lang w:val="en-US" w:eastAsia="zh-CN"/>
        </w:rPr>
        <w:t>为主</w:t>
      </w:r>
      <w:r>
        <w:rPr>
          <w:rFonts w:hint="default" w:ascii="Times New Roman" w:hAnsi="Times New Roman" w:cs="Times New Roman"/>
          <w:color w:val="auto"/>
          <w:sz w:val="28"/>
          <w:szCs w:val="28"/>
        </w:rPr>
        <w:t>。</w:t>
      </w:r>
    </w:p>
    <w:p w14:paraId="63C0B08D">
      <w:pPr>
        <w:pStyle w:val="8"/>
        <w:keepNext/>
        <w:keepLines/>
        <w:pageBreakBefore w:val="0"/>
        <w:widowControl w:val="0"/>
        <w:kinsoku/>
        <w:wordWrap/>
        <w:overflowPunct/>
        <w:topLinePunct w:val="0"/>
        <w:autoSpaceDE/>
        <w:autoSpaceDN/>
        <w:bidi w:val="0"/>
        <w:adjustRightInd/>
        <w:snapToGrid/>
        <w:spacing w:before="40" w:after="0" w:line="360" w:lineRule="auto"/>
        <w:textAlignment w:val="auto"/>
        <w:rPr>
          <w:rFonts w:hint="eastAsia" w:ascii="楷体_GB2312" w:hAnsi="楷体_GB2312" w:eastAsia="楷体_GB2312" w:cs="楷体_GB2312"/>
          <w:b/>
          <w:bCs w:val="0"/>
          <w:snapToGrid w:val="0"/>
          <w:color w:val="auto"/>
          <w:kern w:val="2"/>
          <w:sz w:val="30"/>
          <w:szCs w:val="30"/>
          <w:lang w:val="en-US" w:eastAsia="zh-CN" w:bidi="ar-SA"/>
        </w:rPr>
      </w:pPr>
      <w:bookmarkStart w:id="31" w:name="_Toc2073"/>
      <w:r>
        <w:rPr>
          <w:rFonts w:hint="eastAsia" w:ascii="楷体_GB2312" w:hAnsi="楷体_GB2312" w:eastAsia="楷体_GB2312" w:cs="楷体_GB2312"/>
          <w:b/>
          <w:bCs w:val="0"/>
          <w:snapToGrid w:val="0"/>
          <w:color w:val="auto"/>
          <w:kern w:val="2"/>
          <w:sz w:val="30"/>
          <w:szCs w:val="30"/>
          <w:lang w:val="en-US" w:eastAsia="zh-CN" w:bidi="ar-SA"/>
        </w:rPr>
        <w:t>（一）经济情况</w:t>
      </w:r>
      <w:bookmarkEnd w:id="31"/>
    </w:p>
    <w:p w14:paraId="121A3F7D">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2020年，全省</w:t>
      </w:r>
      <w:r>
        <w:rPr>
          <w:rFonts w:hint="default" w:ascii="Times New Roman" w:hAnsi="Times New Roman" w:cs="Times New Roman"/>
          <w:color w:val="auto"/>
          <w:sz w:val="28"/>
          <w:szCs w:val="28"/>
        </w:rPr>
        <w:t>生产总值17826.56亿元，其中第一产业</w:t>
      </w:r>
      <w:r>
        <w:rPr>
          <w:rFonts w:hint="default" w:ascii="Times New Roman" w:hAnsi="Times New Roman" w:cs="Times New Roman"/>
          <w:color w:val="auto"/>
          <w:sz w:val="28"/>
          <w:szCs w:val="28"/>
          <w:shd w:val="clear" w:color="auto" w:fill="FFFFFF"/>
        </w:rPr>
        <w:t>2539.88</w:t>
      </w:r>
      <w:r>
        <w:rPr>
          <w:rFonts w:hint="default" w:ascii="Times New Roman" w:hAnsi="Times New Roman" w:cs="Times New Roman"/>
          <w:color w:val="auto"/>
          <w:sz w:val="28"/>
          <w:szCs w:val="28"/>
        </w:rPr>
        <w:t>亿元，第二产业</w:t>
      </w:r>
      <w:r>
        <w:rPr>
          <w:rFonts w:hint="default" w:ascii="Times New Roman" w:hAnsi="Times New Roman" w:cs="Times New Roman"/>
          <w:color w:val="auto"/>
          <w:sz w:val="28"/>
          <w:szCs w:val="28"/>
          <w:shd w:val="clear" w:color="auto" w:fill="FFFFFF"/>
        </w:rPr>
        <w:t>6211.62</w:t>
      </w:r>
      <w:r>
        <w:rPr>
          <w:rFonts w:hint="default" w:ascii="Times New Roman" w:hAnsi="Times New Roman" w:cs="Times New Roman"/>
          <w:color w:val="auto"/>
          <w:sz w:val="28"/>
          <w:szCs w:val="28"/>
        </w:rPr>
        <w:t>亿元，第三产业</w:t>
      </w:r>
      <w:r>
        <w:rPr>
          <w:rFonts w:hint="default" w:ascii="Times New Roman" w:hAnsi="Times New Roman" w:cs="Times New Roman"/>
          <w:color w:val="auto"/>
          <w:sz w:val="28"/>
          <w:szCs w:val="28"/>
          <w:shd w:val="clear" w:color="auto" w:fill="FFFFFF"/>
        </w:rPr>
        <w:t>9075.07</w:t>
      </w:r>
      <w:r>
        <w:rPr>
          <w:rFonts w:hint="default" w:ascii="Times New Roman" w:hAnsi="Times New Roman" w:cs="Times New Roman"/>
          <w:color w:val="auto"/>
          <w:sz w:val="28"/>
          <w:szCs w:val="28"/>
        </w:rPr>
        <w:t>亿元。全省农、林、牧、渔增加值</w:t>
      </w:r>
      <w:r>
        <w:rPr>
          <w:rFonts w:hint="default" w:ascii="Times New Roman" w:hAnsi="Times New Roman" w:cs="Times New Roman"/>
          <w:color w:val="auto"/>
          <w:sz w:val="28"/>
          <w:szCs w:val="28"/>
          <w:shd w:val="clear" w:color="auto" w:fill="FFFFFF"/>
        </w:rPr>
        <w:t>4358.62</w:t>
      </w:r>
      <w:r>
        <w:rPr>
          <w:rFonts w:hint="default" w:ascii="Times New Roman" w:hAnsi="Times New Roman" w:cs="Times New Roman"/>
          <w:color w:val="auto"/>
          <w:sz w:val="28"/>
          <w:szCs w:val="28"/>
        </w:rPr>
        <w:t>亿元，主要农作物种植面积中，粮食作物种植面积4131.20万亩，全年蔬菜及食用菌种植面积2266.99万亩，蔬菜及食用菌产量2990.87万吨，果园面积1169.20万亩，园林水果产量478.58万吨，木材产量314.67万立方米</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4"/>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。高速公路通车里程达7607公里，公路通车里程20.67万公里，铁路通车里程3958公里，高速铁路运营里程1505公里，内河航道通航里程3958公里，其中长江水系2515公里，珠江水系1442公里，高等级航道989.5公里</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5"/>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w:t>
      </w:r>
    </w:p>
    <w:p w14:paraId="14987584">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32" w:name="_Toc17850"/>
      <w:r>
        <w:rPr>
          <w:rFonts w:hint="eastAsia" w:ascii="楷体_GB2312" w:hAnsi="楷体_GB2312" w:eastAsia="楷体_GB2312" w:cs="楷体_GB2312"/>
          <w:b/>
          <w:bCs w:val="0"/>
          <w:snapToGrid w:val="0"/>
          <w:color w:val="auto"/>
          <w:kern w:val="2"/>
          <w:sz w:val="30"/>
          <w:szCs w:val="30"/>
          <w:lang w:val="en-US" w:eastAsia="zh-CN" w:bidi="ar-SA"/>
        </w:rPr>
        <w:t>（二）土地利用现状</w:t>
      </w:r>
      <w:bookmarkEnd w:id="32"/>
    </w:p>
    <w:p w14:paraId="744ADF1E">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根据2020年贵州省国土变更调查数据，全省耕地面积341.50万公顷，园地59.63公顷，林地1123.16万公顷，草地18.56公顷，城镇及工矿用地78.30万公顷，</w:t>
      </w:r>
      <w:r>
        <w:rPr>
          <w:rFonts w:hint="default" w:ascii="Times New Roman" w:hAnsi="Times New Roman" w:cs="Times New Roman"/>
          <w:color w:val="auto"/>
          <w:sz w:val="28"/>
          <w:szCs w:val="28"/>
        </w:rPr>
        <w:t>交通运输用地</w:t>
      </w:r>
      <w:r>
        <w:rPr>
          <w:rFonts w:hint="default" w:ascii="Times New Roman" w:hAnsi="Times New Roman" w:cs="Times New Roman"/>
          <w:color w:val="auto"/>
          <w:sz w:val="28"/>
          <w:szCs w:val="28"/>
          <w:lang w:val="en-US" w:eastAsia="zh-CN"/>
        </w:rPr>
        <w:t>34.05</w:t>
      </w:r>
      <w:r>
        <w:rPr>
          <w:rFonts w:hint="default" w:ascii="Times New Roman" w:hAnsi="Times New Roman" w:cs="Times New Roman"/>
          <w:color w:val="auto"/>
          <w:sz w:val="28"/>
          <w:szCs w:val="28"/>
        </w:rPr>
        <w:t>万公顷，水域及水利设施用地</w:t>
      </w:r>
      <w:r>
        <w:rPr>
          <w:rFonts w:hint="default" w:ascii="Times New Roman" w:hAnsi="Times New Roman" w:cs="Times New Roman"/>
          <w:color w:val="auto"/>
          <w:sz w:val="28"/>
          <w:szCs w:val="28"/>
          <w:lang w:val="en-US" w:eastAsia="zh-CN"/>
        </w:rPr>
        <w:t>25.74</w:t>
      </w:r>
      <w:r>
        <w:rPr>
          <w:rFonts w:hint="default" w:ascii="Times New Roman" w:hAnsi="Times New Roman" w:cs="Times New Roman"/>
          <w:color w:val="auto"/>
          <w:sz w:val="28"/>
          <w:szCs w:val="28"/>
        </w:rPr>
        <w:t>万公顷</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水域及水利设施用地</w:t>
      </w:r>
      <w:r>
        <w:rPr>
          <w:rFonts w:hint="default" w:ascii="Times New Roman" w:hAnsi="Times New Roman" w:cs="Times New Roman"/>
          <w:color w:val="auto"/>
          <w:sz w:val="28"/>
          <w:szCs w:val="28"/>
          <w:lang w:val="en-US" w:eastAsia="zh-CN"/>
        </w:rPr>
        <w:t>中，河流水面14.09万公顷，</w:t>
      </w:r>
      <w:r>
        <w:rPr>
          <w:rFonts w:hint="default" w:ascii="Times New Roman" w:hAnsi="Times New Roman" w:cs="Times New Roman"/>
          <w:color w:val="auto"/>
          <w:sz w:val="28"/>
          <w:szCs w:val="28"/>
        </w:rPr>
        <w:t>湖泊水面</w:t>
      </w:r>
      <w:r>
        <w:rPr>
          <w:rFonts w:hint="default" w:ascii="Times New Roman" w:hAnsi="Times New Roman" w:cs="Times New Roman"/>
          <w:color w:val="auto"/>
          <w:sz w:val="28"/>
          <w:szCs w:val="28"/>
          <w:lang w:val="en-US" w:eastAsia="zh-CN"/>
        </w:rPr>
        <w:t>0.24</w:t>
      </w:r>
      <w:r>
        <w:rPr>
          <w:rFonts w:hint="default" w:ascii="Times New Roman" w:hAnsi="Times New Roman" w:cs="Times New Roman"/>
          <w:color w:val="auto"/>
          <w:sz w:val="28"/>
          <w:szCs w:val="28"/>
        </w:rPr>
        <w:t>万公顷</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水库水面7.97万公顷，坑塘水面2.12万公顷</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6"/>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w:t>
      </w:r>
    </w:p>
    <w:p w14:paraId="756700E2">
      <w:pPr>
        <w:pStyle w:val="7"/>
        <w:bidi w:val="0"/>
        <w:rPr>
          <w:rFonts w:hint="default" w:ascii="Times New Roman" w:hAnsi="Times New Roman" w:eastAsia="黑体" w:cs="Times New Roman"/>
          <w:color w:val="auto"/>
          <w:sz w:val="32"/>
          <w:szCs w:val="32"/>
          <w:lang w:val="en-US" w:eastAsia="zh-CN"/>
        </w:rPr>
      </w:pPr>
      <w:bookmarkStart w:id="33" w:name="_Toc28651"/>
      <w:bookmarkStart w:id="34" w:name="_Toc12358"/>
      <w:r>
        <w:rPr>
          <w:rFonts w:hint="default" w:ascii="Times New Roman" w:hAnsi="Times New Roman" w:eastAsia="黑体" w:cs="Times New Roman"/>
          <w:color w:val="auto"/>
          <w:sz w:val="32"/>
          <w:szCs w:val="32"/>
          <w:lang w:val="en-US" w:eastAsia="zh-CN"/>
        </w:rPr>
        <w:t>三、水土流失现状</w:t>
      </w:r>
      <w:bookmarkEnd w:id="33"/>
      <w:bookmarkEnd w:id="34"/>
    </w:p>
    <w:p w14:paraId="2731C44E">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35" w:name="_Toc16847"/>
      <w:r>
        <w:rPr>
          <w:rFonts w:hint="eastAsia" w:ascii="楷体_GB2312" w:hAnsi="楷体_GB2312" w:eastAsia="楷体_GB2312" w:cs="楷体_GB2312"/>
          <w:b/>
          <w:bCs w:val="0"/>
          <w:snapToGrid w:val="0"/>
          <w:color w:val="auto"/>
          <w:kern w:val="2"/>
          <w:sz w:val="30"/>
          <w:szCs w:val="30"/>
          <w:lang w:val="en-US" w:eastAsia="zh-CN" w:bidi="ar-SA"/>
        </w:rPr>
        <w:t>（一）水土流失面积</w:t>
      </w:r>
      <w:bookmarkEnd w:id="35"/>
    </w:p>
    <w:p w14:paraId="50532C96">
      <w:pPr>
        <w:spacing w:line="360" w:lineRule="auto"/>
        <w:ind w:firstLine="560"/>
        <w:rPr>
          <w:rFonts w:hint="default" w:ascii="Times New Roman" w:hAnsi="Times New Roman" w:cs="Times New Roman"/>
          <w:color w:val="auto"/>
          <w:spacing w:val="-7"/>
          <w:sz w:val="28"/>
          <w:szCs w:val="28"/>
        </w:rPr>
      </w:pPr>
      <w:r>
        <w:rPr>
          <w:rFonts w:hint="default" w:ascii="Times New Roman" w:hAnsi="Times New Roman" w:cs="Times New Roman"/>
          <w:color w:val="auto"/>
          <w:spacing w:val="-7"/>
          <w:sz w:val="28"/>
          <w:szCs w:val="28"/>
        </w:rPr>
        <w:t>据2020年全省水土流失动态监测成果显示，全省水土流失面积47008.20平方公里</w:t>
      </w:r>
      <w:r>
        <w:rPr>
          <w:rFonts w:hint="default" w:ascii="Times New Roman" w:hAnsi="Times New Roman" w:cs="Times New Roman"/>
          <w:color w:val="auto"/>
          <w:sz w:val="28"/>
          <w:szCs w:val="28"/>
        </w:rPr>
        <w:t>，占土地总面积的26.68%；其中轻度30826.78</w:t>
      </w:r>
      <w:r>
        <w:rPr>
          <w:rFonts w:hint="default" w:ascii="Times New Roman" w:hAnsi="Times New Roman" w:cs="Times New Roman"/>
          <w:color w:val="auto"/>
          <w:spacing w:val="-7"/>
          <w:sz w:val="28"/>
          <w:szCs w:val="28"/>
        </w:rPr>
        <w:t>平方公里</w:t>
      </w:r>
      <w:r>
        <w:rPr>
          <w:rFonts w:hint="default" w:ascii="Times New Roman" w:hAnsi="Times New Roman" w:cs="Times New Roman"/>
          <w:color w:val="auto"/>
          <w:sz w:val="28"/>
          <w:szCs w:val="28"/>
        </w:rPr>
        <w:t>、占总流失面积的65.57%，中度7651.77</w:t>
      </w:r>
      <w:r>
        <w:rPr>
          <w:rFonts w:hint="default" w:ascii="Times New Roman" w:hAnsi="Times New Roman" w:cs="Times New Roman"/>
          <w:color w:val="auto"/>
          <w:spacing w:val="-7"/>
          <w:sz w:val="28"/>
          <w:szCs w:val="28"/>
        </w:rPr>
        <w:t>平方公里</w:t>
      </w:r>
      <w:r>
        <w:rPr>
          <w:rFonts w:hint="default" w:ascii="Times New Roman" w:hAnsi="Times New Roman" w:cs="Times New Roman"/>
          <w:color w:val="auto"/>
          <w:sz w:val="28"/>
          <w:szCs w:val="28"/>
        </w:rPr>
        <w:t>、占总流失面积的16.28%，强烈4785.34</w:t>
      </w:r>
      <w:r>
        <w:rPr>
          <w:rFonts w:hint="default" w:ascii="Times New Roman" w:hAnsi="Times New Roman" w:cs="Times New Roman"/>
          <w:color w:val="auto"/>
          <w:spacing w:val="-7"/>
          <w:sz w:val="28"/>
          <w:szCs w:val="28"/>
        </w:rPr>
        <w:t>平方公里</w:t>
      </w:r>
      <w:r>
        <w:rPr>
          <w:rFonts w:hint="default" w:ascii="Times New Roman" w:hAnsi="Times New Roman" w:cs="Times New Roman"/>
          <w:color w:val="auto"/>
          <w:sz w:val="28"/>
          <w:szCs w:val="28"/>
        </w:rPr>
        <w:t>、占总流失面积的10.18%，极强烈3068.93</w:t>
      </w:r>
      <w:r>
        <w:rPr>
          <w:rFonts w:hint="default" w:ascii="Times New Roman" w:hAnsi="Times New Roman" w:cs="Times New Roman"/>
          <w:color w:val="auto"/>
          <w:spacing w:val="-7"/>
          <w:sz w:val="28"/>
          <w:szCs w:val="28"/>
        </w:rPr>
        <w:t>平方公里</w:t>
      </w:r>
      <w:r>
        <w:rPr>
          <w:rFonts w:hint="default" w:ascii="Times New Roman" w:hAnsi="Times New Roman" w:cs="Times New Roman"/>
          <w:color w:val="auto"/>
          <w:sz w:val="28"/>
          <w:szCs w:val="28"/>
        </w:rPr>
        <w:t>、占总流失面积的6.53%，剧烈675.38</w:t>
      </w:r>
      <w:r>
        <w:rPr>
          <w:rFonts w:hint="default" w:ascii="Times New Roman" w:hAnsi="Times New Roman" w:cs="Times New Roman"/>
          <w:color w:val="auto"/>
          <w:spacing w:val="-7"/>
          <w:sz w:val="28"/>
          <w:szCs w:val="28"/>
        </w:rPr>
        <w:t>平方公里</w:t>
      </w:r>
      <w:r>
        <w:rPr>
          <w:rFonts w:hint="default" w:ascii="Times New Roman" w:hAnsi="Times New Roman" w:cs="Times New Roman"/>
          <w:color w:val="auto"/>
          <w:sz w:val="28"/>
          <w:szCs w:val="28"/>
        </w:rPr>
        <w:t>、占总流失面积的1.44%</w:t>
      </w:r>
      <w:r>
        <w:rPr>
          <w:rStyle w:val="22"/>
          <w:rFonts w:hint="default" w:ascii="Times New Roman" w:hAnsi="Times New Roman" w:cs="Times New Roman"/>
          <w:color w:val="auto"/>
          <w:sz w:val="28"/>
          <w:szCs w:val="28"/>
        </w:rPr>
        <w:t>[</w:t>
      </w:r>
      <w:r>
        <w:rPr>
          <w:rStyle w:val="22"/>
          <w:rFonts w:hint="default" w:ascii="Times New Roman" w:hAnsi="Times New Roman" w:cs="Times New Roman"/>
          <w:color w:val="auto"/>
          <w:sz w:val="28"/>
          <w:szCs w:val="28"/>
        </w:rPr>
        <w:footnoteReference w:id="7"/>
      </w:r>
      <w:r>
        <w:rPr>
          <w:rStyle w:val="22"/>
          <w:rFonts w:hint="default" w:ascii="Times New Roman" w:hAnsi="Times New Roman" w:cs="Times New Roman"/>
          <w:color w:val="auto"/>
          <w:sz w:val="28"/>
          <w:szCs w:val="28"/>
        </w:rPr>
        <w:t>]</w:t>
      </w:r>
      <w:r>
        <w:rPr>
          <w:rFonts w:hint="default" w:ascii="Times New Roman" w:hAnsi="Times New Roman" w:cs="Times New Roman"/>
          <w:color w:val="auto"/>
          <w:sz w:val="28"/>
          <w:szCs w:val="28"/>
        </w:rPr>
        <w:t>。</w:t>
      </w:r>
      <w:r>
        <w:rPr>
          <w:rFonts w:hint="default" w:ascii="Times New Roman" w:hAnsi="Times New Roman" w:cs="Times New Roman"/>
          <w:color w:val="auto"/>
          <w:spacing w:val="-7"/>
          <w:sz w:val="28"/>
          <w:szCs w:val="28"/>
        </w:rPr>
        <w:t>各市（州）水土流失面积及强度</w:t>
      </w:r>
      <w:r>
        <w:rPr>
          <w:rFonts w:hint="default" w:ascii="Times New Roman" w:hAnsi="Times New Roman" w:cs="Times New Roman"/>
          <w:color w:val="auto"/>
          <w:spacing w:val="-7"/>
          <w:sz w:val="28"/>
          <w:szCs w:val="28"/>
          <w:lang w:val="en-US" w:eastAsia="zh-CN"/>
        </w:rPr>
        <w:t>详见</w:t>
      </w:r>
      <w:r>
        <w:rPr>
          <w:rFonts w:hint="default" w:ascii="Times New Roman" w:hAnsi="Times New Roman" w:cs="Times New Roman"/>
          <w:color w:val="auto"/>
          <w:spacing w:val="-7"/>
          <w:sz w:val="28"/>
          <w:szCs w:val="28"/>
        </w:rPr>
        <w:t>表1-1。</w:t>
      </w:r>
    </w:p>
    <w:p w14:paraId="7D0E7F07">
      <w:pPr>
        <w:jc w:val="both"/>
        <w:rPr>
          <w:rFonts w:hint="default" w:ascii="Times New Roman" w:hAnsi="Times New Roman" w:cs="Times New Roman"/>
          <w:color w:val="auto"/>
          <w:sz w:val="24"/>
          <w:vertAlign w:val="superscript"/>
        </w:rPr>
      </w:pPr>
      <w:r>
        <w:rPr>
          <w:rFonts w:hint="default" w:ascii="Times New Roman" w:hAnsi="Times New Roman" w:cs="Times New Roman"/>
          <w:b/>
          <w:bCs/>
          <w:color w:val="auto"/>
          <w:sz w:val="28"/>
          <w:szCs w:val="28"/>
        </w:rPr>
        <w:t xml:space="preserve">表1-1    </w:t>
      </w:r>
      <w:r>
        <w:rPr>
          <w:rFonts w:hint="default" w:ascii="Times New Roman" w:hAnsi="Times New Roman" w:cs="Times New Roman"/>
          <w:b/>
          <w:bCs/>
          <w:color w:val="auto"/>
          <w:sz w:val="28"/>
          <w:szCs w:val="28"/>
          <w:lang w:val="en-US" w:eastAsia="zh-CN"/>
        </w:rPr>
        <w:t xml:space="preserve">  </w:t>
      </w:r>
      <w:r>
        <w:rPr>
          <w:rFonts w:hint="default" w:ascii="Times New Roman" w:hAnsi="Times New Roman" w:cs="Times New Roman"/>
          <w:b/>
          <w:bCs/>
          <w:color w:val="auto"/>
          <w:sz w:val="28"/>
          <w:szCs w:val="28"/>
        </w:rPr>
        <w:t>贵州省2020年水土流失面积及强度表</w:t>
      </w:r>
      <w:r>
        <w:rPr>
          <w:rFonts w:hint="default" w:ascii="Times New Roman" w:hAnsi="Times New Roman" w:cs="Times New Roman"/>
          <w:color w:val="auto"/>
          <w:sz w:val="28"/>
          <w:szCs w:val="28"/>
        </w:rPr>
        <w:t xml:space="preserve">    </w:t>
      </w:r>
      <w:r>
        <w:rPr>
          <w:rFonts w:hint="default" w:ascii="Times New Roman" w:hAnsi="Times New Roman" w:cs="Times New Roman"/>
          <w:b/>
          <w:bCs/>
          <w:color w:val="auto"/>
          <w:sz w:val="28"/>
          <w:szCs w:val="28"/>
        </w:rPr>
        <w:t xml:space="preserve"> 单位:km</w:t>
      </w:r>
      <w:r>
        <w:rPr>
          <w:rFonts w:hint="default" w:ascii="Times New Roman" w:hAnsi="Times New Roman" w:cs="Times New Roman"/>
          <w:b/>
          <w:bCs/>
          <w:color w:val="auto"/>
          <w:sz w:val="28"/>
          <w:szCs w:val="28"/>
          <w:vertAlign w:val="superscript"/>
        </w:rPr>
        <w:t>2</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114"/>
        <w:gridCol w:w="1169"/>
        <w:gridCol w:w="1108"/>
        <w:gridCol w:w="997"/>
        <w:gridCol w:w="997"/>
        <w:gridCol w:w="997"/>
        <w:gridCol w:w="896"/>
        <w:gridCol w:w="1241"/>
      </w:tblGrid>
      <w:tr w14:paraId="7739AE4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vMerge w:val="restart"/>
            <w:tcBorders>
              <w:tl2br w:val="nil"/>
              <w:tr2bl w:val="nil"/>
            </w:tcBorders>
            <w:shd w:val="clear" w:color="auto" w:fill="auto"/>
            <w:noWrap/>
            <w:vAlign w:val="center"/>
          </w:tcPr>
          <w:p w14:paraId="754596F1">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市（州）</w:t>
            </w:r>
          </w:p>
        </w:tc>
        <w:tc>
          <w:tcPr>
            <w:tcW w:w="686" w:type="pct"/>
            <w:vMerge w:val="restart"/>
            <w:tcBorders>
              <w:tl2br w:val="nil"/>
              <w:tr2bl w:val="nil"/>
            </w:tcBorders>
            <w:shd w:val="clear" w:color="auto" w:fill="auto"/>
            <w:noWrap/>
            <w:vAlign w:val="center"/>
          </w:tcPr>
          <w:p w14:paraId="42C849CD">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水土流失</w:t>
            </w:r>
          </w:p>
          <w:p w14:paraId="2C1E88A5">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面积</w:t>
            </w:r>
          </w:p>
        </w:tc>
        <w:tc>
          <w:tcPr>
            <w:tcW w:w="2931" w:type="pct"/>
            <w:gridSpan w:val="5"/>
            <w:tcBorders>
              <w:tl2br w:val="nil"/>
              <w:tr2bl w:val="nil"/>
            </w:tcBorders>
            <w:shd w:val="clear" w:color="000000" w:fill="FFFFFF"/>
            <w:noWrap/>
            <w:vAlign w:val="center"/>
          </w:tcPr>
          <w:p w14:paraId="0EC5C987">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       </w:t>
            </w:r>
            <w:r>
              <w:rPr>
                <w:rFonts w:hint="default" w:ascii="Times New Roman" w:hAnsi="Times New Roman" w:eastAsia="宋体" w:cs="Times New Roman"/>
                <w:b/>
                <w:bCs/>
                <w:color w:val="auto"/>
                <w:kern w:val="0"/>
                <w:sz w:val="21"/>
                <w:szCs w:val="21"/>
              </w:rPr>
              <w:t>各级水土流失强度及面积</w:t>
            </w:r>
          </w:p>
        </w:tc>
        <w:tc>
          <w:tcPr>
            <w:tcW w:w="728" w:type="pct"/>
            <w:vMerge w:val="restart"/>
            <w:tcBorders>
              <w:tl2br w:val="nil"/>
              <w:tr2bl w:val="nil"/>
            </w:tcBorders>
            <w:shd w:val="clear" w:color="000000" w:fill="FFFFFF"/>
            <w:vAlign w:val="center"/>
          </w:tcPr>
          <w:p w14:paraId="347D1A54">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水土保持率（%）</w:t>
            </w:r>
          </w:p>
        </w:tc>
      </w:tr>
      <w:tr w14:paraId="0033E60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vMerge w:val="continue"/>
            <w:tcBorders>
              <w:tl2br w:val="nil"/>
              <w:tr2bl w:val="nil"/>
            </w:tcBorders>
            <w:vAlign w:val="center"/>
          </w:tcPr>
          <w:p w14:paraId="117120B5">
            <w:pPr>
              <w:widowControl/>
              <w:jc w:val="left"/>
              <w:rPr>
                <w:rFonts w:hint="default" w:ascii="Times New Roman" w:hAnsi="Times New Roman" w:eastAsia="宋体" w:cs="Times New Roman"/>
                <w:b/>
                <w:bCs/>
                <w:color w:val="auto"/>
                <w:kern w:val="0"/>
                <w:sz w:val="21"/>
                <w:szCs w:val="21"/>
              </w:rPr>
            </w:pPr>
          </w:p>
        </w:tc>
        <w:tc>
          <w:tcPr>
            <w:tcW w:w="686" w:type="pct"/>
            <w:vMerge w:val="continue"/>
            <w:tcBorders>
              <w:tl2br w:val="nil"/>
              <w:tr2bl w:val="nil"/>
            </w:tcBorders>
            <w:vAlign w:val="center"/>
          </w:tcPr>
          <w:p w14:paraId="59FC4A14">
            <w:pPr>
              <w:widowControl/>
              <w:jc w:val="left"/>
              <w:rPr>
                <w:rFonts w:hint="default" w:ascii="Times New Roman" w:hAnsi="Times New Roman" w:eastAsia="宋体" w:cs="Times New Roman"/>
                <w:b/>
                <w:bCs/>
                <w:color w:val="auto"/>
                <w:kern w:val="0"/>
                <w:sz w:val="21"/>
                <w:szCs w:val="21"/>
              </w:rPr>
            </w:pPr>
          </w:p>
        </w:tc>
        <w:tc>
          <w:tcPr>
            <w:tcW w:w="650" w:type="pct"/>
            <w:tcBorders>
              <w:tl2br w:val="nil"/>
              <w:tr2bl w:val="nil"/>
            </w:tcBorders>
            <w:shd w:val="clear" w:color="auto" w:fill="auto"/>
            <w:noWrap/>
            <w:vAlign w:val="center"/>
          </w:tcPr>
          <w:p w14:paraId="521B7AC6">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轻度</w:t>
            </w:r>
          </w:p>
        </w:tc>
        <w:tc>
          <w:tcPr>
            <w:tcW w:w="585" w:type="pct"/>
            <w:tcBorders>
              <w:tl2br w:val="nil"/>
              <w:tr2bl w:val="nil"/>
            </w:tcBorders>
            <w:shd w:val="clear" w:color="auto" w:fill="auto"/>
            <w:noWrap/>
            <w:vAlign w:val="center"/>
          </w:tcPr>
          <w:p w14:paraId="3A34DD96">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中度</w:t>
            </w:r>
          </w:p>
        </w:tc>
        <w:tc>
          <w:tcPr>
            <w:tcW w:w="585" w:type="pct"/>
            <w:tcBorders>
              <w:tl2br w:val="nil"/>
              <w:tr2bl w:val="nil"/>
            </w:tcBorders>
            <w:shd w:val="clear" w:color="auto" w:fill="auto"/>
            <w:noWrap/>
            <w:vAlign w:val="center"/>
          </w:tcPr>
          <w:p w14:paraId="3015B18F">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强烈</w:t>
            </w:r>
          </w:p>
        </w:tc>
        <w:tc>
          <w:tcPr>
            <w:tcW w:w="585" w:type="pct"/>
            <w:tcBorders>
              <w:tl2br w:val="nil"/>
              <w:tr2bl w:val="nil"/>
            </w:tcBorders>
            <w:shd w:val="clear" w:color="auto" w:fill="auto"/>
            <w:noWrap/>
            <w:vAlign w:val="center"/>
          </w:tcPr>
          <w:p w14:paraId="05545A4B">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极强烈</w:t>
            </w:r>
          </w:p>
        </w:tc>
        <w:tc>
          <w:tcPr>
            <w:tcW w:w="525" w:type="pct"/>
            <w:tcBorders>
              <w:tl2br w:val="nil"/>
              <w:tr2bl w:val="nil"/>
            </w:tcBorders>
            <w:shd w:val="clear" w:color="000000" w:fill="FFFFFF"/>
            <w:noWrap/>
            <w:vAlign w:val="center"/>
          </w:tcPr>
          <w:p w14:paraId="57B3BA2D">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剧烈</w:t>
            </w:r>
          </w:p>
        </w:tc>
        <w:tc>
          <w:tcPr>
            <w:tcW w:w="728" w:type="pct"/>
            <w:vMerge w:val="continue"/>
            <w:tcBorders>
              <w:tl2br w:val="nil"/>
              <w:tr2bl w:val="nil"/>
            </w:tcBorders>
            <w:vAlign w:val="center"/>
          </w:tcPr>
          <w:p w14:paraId="43A09C61">
            <w:pPr>
              <w:widowControl/>
              <w:jc w:val="left"/>
              <w:rPr>
                <w:rFonts w:hint="default" w:ascii="Times New Roman" w:hAnsi="Times New Roman" w:eastAsia="宋体" w:cs="Times New Roman"/>
                <w:b/>
                <w:bCs/>
                <w:color w:val="auto"/>
                <w:kern w:val="0"/>
                <w:sz w:val="21"/>
                <w:szCs w:val="21"/>
              </w:rPr>
            </w:pPr>
          </w:p>
        </w:tc>
      </w:tr>
      <w:tr w14:paraId="7493917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000000" w:fill="FFFFFF"/>
            <w:noWrap/>
            <w:vAlign w:val="center"/>
          </w:tcPr>
          <w:p w14:paraId="215B9EFD">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贵阳市</w:t>
            </w:r>
          </w:p>
        </w:tc>
        <w:tc>
          <w:tcPr>
            <w:tcW w:w="686" w:type="pct"/>
            <w:tcBorders>
              <w:tl2br w:val="nil"/>
              <w:tr2bl w:val="nil"/>
            </w:tcBorders>
            <w:shd w:val="clear" w:color="000000" w:fill="FFFFFF"/>
            <w:noWrap/>
            <w:vAlign w:val="center"/>
          </w:tcPr>
          <w:p w14:paraId="7D7D3CAF">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1799.56</w:t>
            </w:r>
          </w:p>
        </w:tc>
        <w:tc>
          <w:tcPr>
            <w:tcW w:w="650" w:type="pct"/>
            <w:tcBorders>
              <w:tl2br w:val="nil"/>
              <w:tr2bl w:val="nil"/>
            </w:tcBorders>
            <w:shd w:val="clear" w:color="000000" w:fill="FFFFFF"/>
            <w:noWrap/>
            <w:vAlign w:val="center"/>
          </w:tcPr>
          <w:p w14:paraId="6C61606A">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1201.17</w:t>
            </w:r>
          </w:p>
        </w:tc>
        <w:tc>
          <w:tcPr>
            <w:tcW w:w="585" w:type="pct"/>
            <w:tcBorders>
              <w:tl2br w:val="nil"/>
              <w:tr2bl w:val="nil"/>
            </w:tcBorders>
            <w:shd w:val="clear" w:color="000000" w:fill="FFFFFF"/>
            <w:noWrap/>
            <w:vAlign w:val="center"/>
          </w:tcPr>
          <w:p w14:paraId="4A935519">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376.43</w:t>
            </w:r>
          </w:p>
        </w:tc>
        <w:tc>
          <w:tcPr>
            <w:tcW w:w="585" w:type="pct"/>
            <w:tcBorders>
              <w:tl2br w:val="nil"/>
              <w:tr2bl w:val="nil"/>
            </w:tcBorders>
            <w:shd w:val="clear" w:color="000000" w:fill="FFFFFF"/>
            <w:noWrap/>
            <w:vAlign w:val="center"/>
          </w:tcPr>
          <w:p w14:paraId="4BBE4CDD">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176.09</w:t>
            </w:r>
          </w:p>
        </w:tc>
        <w:tc>
          <w:tcPr>
            <w:tcW w:w="585" w:type="pct"/>
            <w:tcBorders>
              <w:tl2br w:val="nil"/>
              <w:tr2bl w:val="nil"/>
            </w:tcBorders>
            <w:shd w:val="clear" w:color="000000" w:fill="FFFFFF"/>
            <w:noWrap/>
            <w:vAlign w:val="center"/>
          </w:tcPr>
          <w:p w14:paraId="5D5A4B8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41.45</w:t>
            </w:r>
          </w:p>
        </w:tc>
        <w:tc>
          <w:tcPr>
            <w:tcW w:w="525" w:type="pct"/>
            <w:tcBorders>
              <w:tl2br w:val="nil"/>
              <w:tr2bl w:val="nil"/>
            </w:tcBorders>
            <w:shd w:val="clear" w:color="000000" w:fill="FFFFFF"/>
            <w:noWrap/>
            <w:vAlign w:val="center"/>
          </w:tcPr>
          <w:p w14:paraId="576A818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4.42</w:t>
            </w:r>
          </w:p>
        </w:tc>
        <w:tc>
          <w:tcPr>
            <w:tcW w:w="728" w:type="pct"/>
            <w:tcBorders>
              <w:tl2br w:val="nil"/>
              <w:tr2bl w:val="nil"/>
            </w:tcBorders>
            <w:shd w:val="clear" w:color="000000" w:fill="FFFFFF"/>
            <w:noWrap/>
            <w:vAlign w:val="center"/>
          </w:tcPr>
          <w:p w14:paraId="60A6366D">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77.6</w:t>
            </w:r>
          </w:p>
        </w:tc>
      </w:tr>
      <w:tr w14:paraId="246C1C0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14:paraId="53197FDF">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六盘水市</w:t>
            </w:r>
          </w:p>
        </w:tc>
        <w:tc>
          <w:tcPr>
            <w:tcW w:w="686" w:type="pct"/>
            <w:tcBorders>
              <w:tl2br w:val="nil"/>
              <w:tr2bl w:val="nil"/>
            </w:tcBorders>
            <w:shd w:val="clear" w:color="000000" w:fill="FFFFFF"/>
            <w:noWrap/>
            <w:vAlign w:val="center"/>
          </w:tcPr>
          <w:p w14:paraId="754710D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3557.19</w:t>
            </w:r>
          </w:p>
        </w:tc>
        <w:tc>
          <w:tcPr>
            <w:tcW w:w="650" w:type="pct"/>
            <w:tcBorders>
              <w:tl2br w:val="nil"/>
              <w:tr2bl w:val="nil"/>
            </w:tcBorders>
            <w:shd w:val="clear" w:color="000000" w:fill="FFFFFF"/>
            <w:noWrap/>
            <w:vAlign w:val="center"/>
          </w:tcPr>
          <w:p w14:paraId="3A241ADB">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1793.95</w:t>
            </w:r>
          </w:p>
        </w:tc>
        <w:tc>
          <w:tcPr>
            <w:tcW w:w="585" w:type="pct"/>
            <w:tcBorders>
              <w:tl2br w:val="nil"/>
              <w:tr2bl w:val="nil"/>
            </w:tcBorders>
            <w:shd w:val="clear" w:color="000000" w:fill="FFFFFF"/>
            <w:noWrap/>
            <w:vAlign w:val="center"/>
          </w:tcPr>
          <w:p w14:paraId="6423D740">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844.28</w:t>
            </w:r>
          </w:p>
        </w:tc>
        <w:tc>
          <w:tcPr>
            <w:tcW w:w="585" w:type="pct"/>
            <w:tcBorders>
              <w:tl2br w:val="nil"/>
              <w:tr2bl w:val="nil"/>
            </w:tcBorders>
            <w:shd w:val="clear" w:color="000000" w:fill="FFFFFF"/>
            <w:noWrap/>
            <w:vAlign w:val="center"/>
          </w:tcPr>
          <w:p w14:paraId="3199098F">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568.86</w:t>
            </w:r>
          </w:p>
        </w:tc>
        <w:tc>
          <w:tcPr>
            <w:tcW w:w="585" w:type="pct"/>
            <w:tcBorders>
              <w:tl2br w:val="nil"/>
              <w:tr2bl w:val="nil"/>
            </w:tcBorders>
            <w:shd w:val="clear" w:color="000000" w:fill="FFFFFF"/>
            <w:noWrap/>
            <w:vAlign w:val="center"/>
          </w:tcPr>
          <w:p w14:paraId="67EADBE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286.85</w:t>
            </w:r>
          </w:p>
        </w:tc>
        <w:tc>
          <w:tcPr>
            <w:tcW w:w="525" w:type="pct"/>
            <w:tcBorders>
              <w:tl2br w:val="nil"/>
              <w:tr2bl w:val="nil"/>
            </w:tcBorders>
            <w:shd w:val="clear" w:color="000000" w:fill="FFFFFF"/>
            <w:noWrap/>
            <w:vAlign w:val="center"/>
          </w:tcPr>
          <w:p w14:paraId="1407D029">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63.25</w:t>
            </w:r>
          </w:p>
        </w:tc>
        <w:tc>
          <w:tcPr>
            <w:tcW w:w="728" w:type="pct"/>
            <w:tcBorders>
              <w:tl2br w:val="nil"/>
              <w:tr2bl w:val="nil"/>
            </w:tcBorders>
            <w:shd w:val="clear" w:color="000000" w:fill="FFFFFF"/>
            <w:noWrap/>
            <w:vAlign w:val="center"/>
          </w:tcPr>
          <w:p w14:paraId="782C1031">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64.12</w:t>
            </w:r>
          </w:p>
        </w:tc>
      </w:tr>
      <w:tr w14:paraId="1D9837D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14:paraId="0582A790">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遵义市</w:t>
            </w:r>
          </w:p>
        </w:tc>
        <w:tc>
          <w:tcPr>
            <w:tcW w:w="686" w:type="pct"/>
            <w:tcBorders>
              <w:tl2br w:val="nil"/>
              <w:tr2bl w:val="nil"/>
            </w:tcBorders>
            <w:shd w:val="clear" w:color="auto" w:fill="auto"/>
            <w:noWrap/>
            <w:vAlign w:val="center"/>
          </w:tcPr>
          <w:p w14:paraId="7B2C0EE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8188.36</w:t>
            </w:r>
          </w:p>
        </w:tc>
        <w:tc>
          <w:tcPr>
            <w:tcW w:w="650" w:type="pct"/>
            <w:tcBorders>
              <w:tl2br w:val="nil"/>
              <w:tr2bl w:val="nil"/>
            </w:tcBorders>
            <w:shd w:val="clear" w:color="auto" w:fill="auto"/>
            <w:noWrap/>
            <w:vAlign w:val="center"/>
          </w:tcPr>
          <w:p w14:paraId="47A8529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5249.9</w:t>
            </w:r>
          </w:p>
        </w:tc>
        <w:tc>
          <w:tcPr>
            <w:tcW w:w="585" w:type="pct"/>
            <w:tcBorders>
              <w:tl2br w:val="nil"/>
              <w:tr2bl w:val="nil"/>
            </w:tcBorders>
            <w:shd w:val="clear" w:color="auto" w:fill="auto"/>
            <w:noWrap/>
            <w:vAlign w:val="center"/>
          </w:tcPr>
          <w:p w14:paraId="4D65E7F1">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1372.86</w:t>
            </w:r>
          </w:p>
        </w:tc>
        <w:tc>
          <w:tcPr>
            <w:tcW w:w="585" w:type="pct"/>
            <w:tcBorders>
              <w:tl2br w:val="nil"/>
              <w:tr2bl w:val="nil"/>
            </w:tcBorders>
            <w:shd w:val="clear" w:color="auto" w:fill="auto"/>
            <w:noWrap/>
            <w:vAlign w:val="center"/>
          </w:tcPr>
          <w:p w14:paraId="282DD122">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841.61</w:t>
            </w:r>
          </w:p>
        </w:tc>
        <w:tc>
          <w:tcPr>
            <w:tcW w:w="585" w:type="pct"/>
            <w:tcBorders>
              <w:tl2br w:val="nil"/>
              <w:tr2bl w:val="nil"/>
            </w:tcBorders>
            <w:shd w:val="clear" w:color="auto" w:fill="auto"/>
            <w:noWrap/>
            <w:vAlign w:val="center"/>
          </w:tcPr>
          <w:p w14:paraId="499DD2E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646.17</w:t>
            </w:r>
          </w:p>
        </w:tc>
        <w:tc>
          <w:tcPr>
            <w:tcW w:w="525" w:type="pct"/>
            <w:tcBorders>
              <w:tl2br w:val="nil"/>
              <w:tr2bl w:val="nil"/>
            </w:tcBorders>
            <w:shd w:val="clear" w:color="000000" w:fill="FFFFFF"/>
            <w:noWrap/>
            <w:vAlign w:val="center"/>
          </w:tcPr>
          <w:p w14:paraId="54FDD534">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77.82</w:t>
            </w:r>
          </w:p>
        </w:tc>
        <w:tc>
          <w:tcPr>
            <w:tcW w:w="728" w:type="pct"/>
            <w:tcBorders>
              <w:tl2br w:val="nil"/>
              <w:tr2bl w:val="nil"/>
            </w:tcBorders>
            <w:shd w:val="clear" w:color="auto" w:fill="auto"/>
            <w:noWrap/>
            <w:vAlign w:val="center"/>
          </w:tcPr>
          <w:p w14:paraId="6A6EB3B3">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73.37</w:t>
            </w:r>
          </w:p>
        </w:tc>
      </w:tr>
      <w:tr w14:paraId="26777A8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14:paraId="5707D667">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安顺市</w:t>
            </w:r>
          </w:p>
        </w:tc>
        <w:tc>
          <w:tcPr>
            <w:tcW w:w="686" w:type="pct"/>
            <w:tcBorders>
              <w:tl2br w:val="nil"/>
              <w:tr2bl w:val="nil"/>
            </w:tcBorders>
            <w:shd w:val="clear" w:color="000000" w:fill="FFFFFF"/>
            <w:noWrap/>
            <w:vAlign w:val="center"/>
          </w:tcPr>
          <w:p w14:paraId="2843E351">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2402.79</w:t>
            </w:r>
          </w:p>
        </w:tc>
        <w:tc>
          <w:tcPr>
            <w:tcW w:w="650" w:type="pct"/>
            <w:tcBorders>
              <w:tl2br w:val="nil"/>
              <w:tr2bl w:val="nil"/>
            </w:tcBorders>
            <w:shd w:val="clear" w:color="000000" w:fill="FFFFFF"/>
            <w:noWrap/>
            <w:vAlign w:val="center"/>
          </w:tcPr>
          <w:p w14:paraId="32987D7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1455.01</w:t>
            </w:r>
          </w:p>
        </w:tc>
        <w:tc>
          <w:tcPr>
            <w:tcW w:w="585" w:type="pct"/>
            <w:tcBorders>
              <w:tl2br w:val="nil"/>
              <w:tr2bl w:val="nil"/>
            </w:tcBorders>
            <w:shd w:val="clear" w:color="000000" w:fill="FFFFFF"/>
            <w:noWrap/>
            <w:vAlign w:val="center"/>
          </w:tcPr>
          <w:p w14:paraId="55E980C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361.14</w:t>
            </w:r>
          </w:p>
        </w:tc>
        <w:tc>
          <w:tcPr>
            <w:tcW w:w="585" w:type="pct"/>
            <w:tcBorders>
              <w:tl2br w:val="nil"/>
              <w:tr2bl w:val="nil"/>
            </w:tcBorders>
            <w:shd w:val="clear" w:color="000000" w:fill="FFFFFF"/>
            <w:noWrap/>
            <w:vAlign w:val="center"/>
          </w:tcPr>
          <w:p w14:paraId="2549A02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299.62</w:t>
            </w:r>
          </w:p>
        </w:tc>
        <w:tc>
          <w:tcPr>
            <w:tcW w:w="585" w:type="pct"/>
            <w:tcBorders>
              <w:tl2br w:val="nil"/>
              <w:tr2bl w:val="nil"/>
            </w:tcBorders>
            <w:shd w:val="clear" w:color="000000" w:fill="FFFFFF"/>
            <w:noWrap/>
            <w:vAlign w:val="center"/>
          </w:tcPr>
          <w:p w14:paraId="514CCD77">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194.35</w:t>
            </w:r>
          </w:p>
        </w:tc>
        <w:tc>
          <w:tcPr>
            <w:tcW w:w="525" w:type="pct"/>
            <w:tcBorders>
              <w:tl2br w:val="nil"/>
              <w:tr2bl w:val="nil"/>
            </w:tcBorders>
            <w:shd w:val="clear" w:color="000000" w:fill="FFFFFF"/>
            <w:noWrap/>
            <w:vAlign w:val="center"/>
          </w:tcPr>
          <w:p w14:paraId="53597842">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92.67</w:t>
            </w:r>
          </w:p>
        </w:tc>
        <w:tc>
          <w:tcPr>
            <w:tcW w:w="728" w:type="pct"/>
            <w:tcBorders>
              <w:tl2br w:val="nil"/>
              <w:tr2bl w:val="nil"/>
            </w:tcBorders>
            <w:shd w:val="clear" w:color="000000" w:fill="FFFFFF"/>
            <w:noWrap/>
            <w:vAlign w:val="center"/>
          </w:tcPr>
          <w:p w14:paraId="3F3D2C04">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74.08</w:t>
            </w:r>
          </w:p>
        </w:tc>
      </w:tr>
      <w:tr w14:paraId="47D093C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14:paraId="6ECA2EB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铜仁市</w:t>
            </w:r>
          </w:p>
        </w:tc>
        <w:tc>
          <w:tcPr>
            <w:tcW w:w="686" w:type="pct"/>
            <w:tcBorders>
              <w:tl2br w:val="nil"/>
              <w:tr2bl w:val="nil"/>
            </w:tcBorders>
            <w:shd w:val="clear" w:color="000000" w:fill="FFFFFF"/>
            <w:noWrap/>
            <w:vAlign w:val="center"/>
          </w:tcPr>
          <w:p w14:paraId="6273C57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5772.71</w:t>
            </w:r>
          </w:p>
        </w:tc>
        <w:tc>
          <w:tcPr>
            <w:tcW w:w="650" w:type="pct"/>
            <w:tcBorders>
              <w:tl2br w:val="nil"/>
              <w:tr2bl w:val="nil"/>
            </w:tcBorders>
            <w:shd w:val="clear" w:color="000000" w:fill="FFFFFF"/>
            <w:noWrap/>
            <w:vAlign w:val="center"/>
          </w:tcPr>
          <w:p w14:paraId="7545130A">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4008.33</w:t>
            </w:r>
          </w:p>
        </w:tc>
        <w:tc>
          <w:tcPr>
            <w:tcW w:w="585" w:type="pct"/>
            <w:tcBorders>
              <w:tl2br w:val="nil"/>
              <w:tr2bl w:val="nil"/>
            </w:tcBorders>
            <w:shd w:val="clear" w:color="000000" w:fill="FFFFFF"/>
            <w:noWrap/>
            <w:vAlign w:val="center"/>
          </w:tcPr>
          <w:p w14:paraId="4565337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865.26</w:t>
            </w:r>
          </w:p>
        </w:tc>
        <w:tc>
          <w:tcPr>
            <w:tcW w:w="585" w:type="pct"/>
            <w:tcBorders>
              <w:tl2br w:val="nil"/>
              <w:tr2bl w:val="nil"/>
            </w:tcBorders>
            <w:shd w:val="clear" w:color="000000" w:fill="FFFFFF"/>
            <w:noWrap/>
            <w:vAlign w:val="center"/>
          </w:tcPr>
          <w:p w14:paraId="7D167AA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501.22</w:t>
            </w:r>
          </w:p>
        </w:tc>
        <w:tc>
          <w:tcPr>
            <w:tcW w:w="585" w:type="pct"/>
            <w:tcBorders>
              <w:tl2br w:val="nil"/>
              <w:tr2bl w:val="nil"/>
            </w:tcBorders>
            <w:shd w:val="clear" w:color="000000" w:fill="FFFFFF"/>
            <w:noWrap/>
            <w:vAlign w:val="center"/>
          </w:tcPr>
          <w:p w14:paraId="1F119142">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356.21</w:t>
            </w:r>
          </w:p>
        </w:tc>
        <w:tc>
          <w:tcPr>
            <w:tcW w:w="525" w:type="pct"/>
            <w:tcBorders>
              <w:tl2br w:val="nil"/>
              <w:tr2bl w:val="nil"/>
            </w:tcBorders>
            <w:shd w:val="clear" w:color="000000" w:fill="FFFFFF"/>
            <w:noWrap/>
            <w:vAlign w:val="center"/>
          </w:tcPr>
          <w:p w14:paraId="706CCEF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41.69</w:t>
            </w:r>
          </w:p>
        </w:tc>
        <w:tc>
          <w:tcPr>
            <w:tcW w:w="728" w:type="pct"/>
            <w:tcBorders>
              <w:tl2br w:val="nil"/>
              <w:tr2bl w:val="nil"/>
            </w:tcBorders>
            <w:shd w:val="clear" w:color="000000" w:fill="FFFFFF"/>
            <w:noWrap/>
            <w:vAlign w:val="center"/>
          </w:tcPr>
          <w:p w14:paraId="3E993C7D">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67.93</w:t>
            </w:r>
          </w:p>
        </w:tc>
      </w:tr>
      <w:tr w14:paraId="3FF015E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14:paraId="13F3C524">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黔西南州</w:t>
            </w:r>
          </w:p>
        </w:tc>
        <w:tc>
          <w:tcPr>
            <w:tcW w:w="686" w:type="pct"/>
            <w:tcBorders>
              <w:tl2br w:val="nil"/>
              <w:tr2bl w:val="nil"/>
            </w:tcBorders>
            <w:shd w:val="clear" w:color="000000" w:fill="FFFFFF"/>
            <w:noWrap/>
            <w:vAlign w:val="center"/>
          </w:tcPr>
          <w:p w14:paraId="12B8FC3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4878.88</w:t>
            </w:r>
          </w:p>
        </w:tc>
        <w:tc>
          <w:tcPr>
            <w:tcW w:w="650" w:type="pct"/>
            <w:tcBorders>
              <w:tl2br w:val="nil"/>
              <w:tr2bl w:val="nil"/>
            </w:tcBorders>
            <w:shd w:val="clear" w:color="000000" w:fill="FFFFFF"/>
            <w:noWrap/>
            <w:vAlign w:val="center"/>
          </w:tcPr>
          <w:p w14:paraId="7C419FBD">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3066.5</w:t>
            </w:r>
          </w:p>
        </w:tc>
        <w:tc>
          <w:tcPr>
            <w:tcW w:w="585" w:type="pct"/>
            <w:tcBorders>
              <w:tl2br w:val="nil"/>
              <w:tr2bl w:val="nil"/>
            </w:tcBorders>
            <w:shd w:val="clear" w:color="000000" w:fill="FFFFFF"/>
            <w:noWrap/>
            <w:vAlign w:val="center"/>
          </w:tcPr>
          <w:p w14:paraId="2EF7A7FA">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800.6</w:t>
            </w:r>
          </w:p>
        </w:tc>
        <w:tc>
          <w:tcPr>
            <w:tcW w:w="585" w:type="pct"/>
            <w:tcBorders>
              <w:tl2br w:val="nil"/>
              <w:tr2bl w:val="nil"/>
            </w:tcBorders>
            <w:shd w:val="clear" w:color="000000" w:fill="FFFFFF"/>
            <w:noWrap/>
            <w:vAlign w:val="center"/>
          </w:tcPr>
          <w:p w14:paraId="7411B73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670.62</w:t>
            </w:r>
          </w:p>
        </w:tc>
        <w:tc>
          <w:tcPr>
            <w:tcW w:w="585" w:type="pct"/>
            <w:tcBorders>
              <w:tl2br w:val="nil"/>
              <w:tr2bl w:val="nil"/>
            </w:tcBorders>
            <w:shd w:val="clear" w:color="000000" w:fill="FFFFFF"/>
            <w:noWrap/>
            <w:vAlign w:val="center"/>
          </w:tcPr>
          <w:p w14:paraId="4D5C8D18">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290.25</w:t>
            </w:r>
          </w:p>
        </w:tc>
        <w:tc>
          <w:tcPr>
            <w:tcW w:w="525" w:type="pct"/>
            <w:tcBorders>
              <w:tl2br w:val="nil"/>
              <w:tr2bl w:val="nil"/>
            </w:tcBorders>
            <w:shd w:val="clear" w:color="000000" w:fill="FFFFFF"/>
            <w:noWrap/>
            <w:vAlign w:val="center"/>
          </w:tcPr>
          <w:p w14:paraId="7F6B057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50.91</w:t>
            </w:r>
          </w:p>
        </w:tc>
        <w:tc>
          <w:tcPr>
            <w:tcW w:w="728" w:type="pct"/>
            <w:tcBorders>
              <w:tl2br w:val="nil"/>
              <w:tr2bl w:val="nil"/>
            </w:tcBorders>
            <w:shd w:val="clear" w:color="000000" w:fill="FFFFFF"/>
            <w:noWrap/>
            <w:vAlign w:val="center"/>
          </w:tcPr>
          <w:p w14:paraId="7B2F4A41">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70.97</w:t>
            </w:r>
          </w:p>
        </w:tc>
      </w:tr>
      <w:tr w14:paraId="49CCD0E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14:paraId="760934D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毕节市</w:t>
            </w:r>
          </w:p>
        </w:tc>
        <w:tc>
          <w:tcPr>
            <w:tcW w:w="686" w:type="pct"/>
            <w:tcBorders>
              <w:tl2br w:val="nil"/>
              <w:tr2bl w:val="nil"/>
            </w:tcBorders>
            <w:shd w:val="clear" w:color="000000" w:fill="FFFFFF"/>
            <w:noWrap/>
            <w:vAlign w:val="center"/>
          </w:tcPr>
          <w:p w14:paraId="09EC4F6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9959.07</w:t>
            </w:r>
          </w:p>
        </w:tc>
        <w:tc>
          <w:tcPr>
            <w:tcW w:w="650" w:type="pct"/>
            <w:tcBorders>
              <w:tl2br w:val="nil"/>
              <w:tr2bl w:val="nil"/>
            </w:tcBorders>
            <w:shd w:val="clear" w:color="000000" w:fill="FFFFFF"/>
            <w:noWrap/>
            <w:vAlign w:val="center"/>
          </w:tcPr>
          <w:p w14:paraId="3D9E4D10">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6226.37</w:t>
            </w:r>
          </w:p>
        </w:tc>
        <w:tc>
          <w:tcPr>
            <w:tcW w:w="585" w:type="pct"/>
            <w:tcBorders>
              <w:tl2br w:val="nil"/>
              <w:tr2bl w:val="nil"/>
            </w:tcBorders>
            <w:shd w:val="clear" w:color="000000" w:fill="FFFFFF"/>
            <w:noWrap/>
            <w:vAlign w:val="center"/>
          </w:tcPr>
          <w:p w14:paraId="6FDDD26B">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1722.65</w:t>
            </w:r>
          </w:p>
        </w:tc>
        <w:tc>
          <w:tcPr>
            <w:tcW w:w="585" w:type="pct"/>
            <w:tcBorders>
              <w:tl2br w:val="nil"/>
              <w:tr2bl w:val="nil"/>
            </w:tcBorders>
            <w:shd w:val="clear" w:color="000000" w:fill="FFFFFF"/>
            <w:noWrap/>
            <w:vAlign w:val="center"/>
          </w:tcPr>
          <w:p w14:paraId="73B7DC5A">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941.36</w:t>
            </w:r>
          </w:p>
        </w:tc>
        <w:tc>
          <w:tcPr>
            <w:tcW w:w="585" w:type="pct"/>
            <w:tcBorders>
              <w:tl2br w:val="nil"/>
              <w:tr2bl w:val="nil"/>
            </w:tcBorders>
            <w:shd w:val="clear" w:color="000000" w:fill="FFFFFF"/>
            <w:noWrap/>
            <w:vAlign w:val="center"/>
          </w:tcPr>
          <w:p w14:paraId="3FDD9E4D">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806.98</w:t>
            </w:r>
          </w:p>
        </w:tc>
        <w:tc>
          <w:tcPr>
            <w:tcW w:w="525" w:type="pct"/>
            <w:tcBorders>
              <w:tl2br w:val="nil"/>
              <w:tr2bl w:val="nil"/>
            </w:tcBorders>
            <w:shd w:val="clear" w:color="000000" w:fill="FFFFFF"/>
            <w:noWrap/>
            <w:vAlign w:val="center"/>
          </w:tcPr>
          <w:p w14:paraId="625C81C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261.71</w:t>
            </w:r>
          </w:p>
        </w:tc>
        <w:tc>
          <w:tcPr>
            <w:tcW w:w="728" w:type="pct"/>
            <w:tcBorders>
              <w:tl2br w:val="nil"/>
              <w:tr2bl w:val="nil"/>
            </w:tcBorders>
            <w:shd w:val="clear" w:color="000000" w:fill="FFFFFF"/>
            <w:noWrap/>
            <w:vAlign w:val="center"/>
          </w:tcPr>
          <w:p w14:paraId="4F9F84F9">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62.91</w:t>
            </w:r>
          </w:p>
        </w:tc>
      </w:tr>
      <w:tr w14:paraId="40A2B5F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14:paraId="5183EBCE">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黔东南州</w:t>
            </w:r>
          </w:p>
        </w:tc>
        <w:tc>
          <w:tcPr>
            <w:tcW w:w="686" w:type="pct"/>
            <w:tcBorders>
              <w:tl2br w:val="nil"/>
              <w:tr2bl w:val="nil"/>
            </w:tcBorders>
            <w:shd w:val="clear" w:color="000000" w:fill="FFFFFF"/>
            <w:noWrap/>
            <w:vAlign w:val="center"/>
          </w:tcPr>
          <w:p w14:paraId="134418F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4794.63</w:t>
            </w:r>
          </w:p>
        </w:tc>
        <w:tc>
          <w:tcPr>
            <w:tcW w:w="650" w:type="pct"/>
            <w:tcBorders>
              <w:tl2br w:val="nil"/>
              <w:tr2bl w:val="nil"/>
            </w:tcBorders>
            <w:shd w:val="clear" w:color="000000" w:fill="FFFFFF"/>
            <w:noWrap/>
            <w:vAlign w:val="center"/>
          </w:tcPr>
          <w:p w14:paraId="1C0E036A">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3347.05</w:t>
            </w:r>
          </w:p>
        </w:tc>
        <w:tc>
          <w:tcPr>
            <w:tcW w:w="585" w:type="pct"/>
            <w:tcBorders>
              <w:tl2br w:val="nil"/>
              <w:tr2bl w:val="nil"/>
            </w:tcBorders>
            <w:shd w:val="clear" w:color="000000" w:fill="FFFFFF"/>
            <w:noWrap/>
            <w:vAlign w:val="center"/>
          </w:tcPr>
          <w:p w14:paraId="27151FE6">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669.75</w:t>
            </w:r>
          </w:p>
        </w:tc>
        <w:tc>
          <w:tcPr>
            <w:tcW w:w="585" w:type="pct"/>
            <w:tcBorders>
              <w:tl2br w:val="nil"/>
              <w:tr2bl w:val="nil"/>
            </w:tcBorders>
            <w:shd w:val="clear" w:color="000000" w:fill="FFFFFF"/>
            <w:noWrap/>
            <w:vAlign w:val="center"/>
          </w:tcPr>
          <w:p w14:paraId="47EC7B77">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419.53</w:t>
            </w:r>
          </w:p>
        </w:tc>
        <w:tc>
          <w:tcPr>
            <w:tcW w:w="585" w:type="pct"/>
            <w:tcBorders>
              <w:tl2br w:val="nil"/>
              <w:tr2bl w:val="nil"/>
            </w:tcBorders>
            <w:shd w:val="clear" w:color="000000" w:fill="FFFFFF"/>
            <w:noWrap/>
            <w:vAlign w:val="center"/>
          </w:tcPr>
          <w:p w14:paraId="65798E3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305.77</w:t>
            </w:r>
          </w:p>
        </w:tc>
        <w:tc>
          <w:tcPr>
            <w:tcW w:w="525" w:type="pct"/>
            <w:tcBorders>
              <w:tl2br w:val="nil"/>
              <w:tr2bl w:val="nil"/>
            </w:tcBorders>
            <w:shd w:val="clear" w:color="000000" w:fill="FFFFFF"/>
            <w:noWrap/>
            <w:vAlign w:val="center"/>
          </w:tcPr>
          <w:p w14:paraId="453F465B">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52.53</w:t>
            </w:r>
          </w:p>
        </w:tc>
        <w:tc>
          <w:tcPr>
            <w:tcW w:w="728" w:type="pct"/>
            <w:tcBorders>
              <w:tl2br w:val="nil"/>
              <w:tr2bl w:val="nil"/>
            </w:tcBorders>
            <w:shd w:val="clear" w:color="000000" w:fill="FFFFFF"/>
            <w:noWrap/>
            <w:vAlign w:val="center"/>
          </w:tcPr>
          <w:p w14:paraId="3258370F">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84.2</w:t>
            </w:r>
          </w:p>
        </w:tc>
      </w:tr>
      <w:tr w14:paraId="669ED6F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14:paraId="33A6A1D4">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黔南州</w:t>
            </w:r>
          </w:p>
        </w:tc>
        <w:tc>
          <w:tcPr>
            <w:tcW w:w="686" w:type="pct"/>
            <w:tcBorders>
              <w:tl2br w:val="nil"/>
              <w:tr2bl w:val="nil"/>
            </w:tcBorders>
            <w:shd w:val="clear" w:color="000000" w:fill="FFFFFF"/>
            <w:noWrap/>
            <w:vAlign w:val="center"/>
          </w:tcPr>
          <w:p w14:paraId="1FAF413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5655.01</w:t>
            </w:r>
          </w:p>
        </w:tc>
        <w:tc>
          <w:tcPr>
            <w:tcW w:w="650" w:type="pct"/>
            <w:tcBorders>
              <w:tl2br w:val="nil"/>
              <w:tr2bl w:val="nil"/>
            </w:tcBorders>
            <w:shd w:val="clear" w:color="000000" w:fill="FFFFFF"/>
            <w:noWrap/>
            <w:vAlign w:val="center"/>
          </w:tcPr>
          <w:p w14:paraId="289D025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4478.5</w:t>
            </w:r>
          </w:p>
        </w:tc>
        <w:tc>
          <w:tcPr>
            <w:tcW w:w="585" w:type="pct"/>
            <w:tcBorders>
              <w:tl2br w:val="nil"/>
              <w:tr2bl w:val="nil"/>
            </w:tcBorders>
            <w:shd w:val="clear" w:color="000000" w:fill="FFFFFF"/>
            <w:noWrap/>
            <w:vAlign w:val="center"/>
          </w:tcPr>
          <w:p w14:paraId="79A800A6">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638.8</w:t>
            </w:r>
          </w:p>
        </w:tc>
        <w:tc>
          <w:tcPr>
            <w:tcW w:w="585" w:type="pct"/>
            <w:tcBorders>
              <w:tl2br w:val="nil"/>
              <w:tr2bl w:val="nil"/>
            </w:tcBorders>
            <w:shd w:val="clear" w:color="000000" w:fill="FFFFFF"/>
            <w:noWrap/>
            <w:vAlign w:val="center"/>
          </w:tcPr>
          <w:p w14:paraId="43650657">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366.43</w:t>
            </w:r>
          </w:p>
        </w:tc>
        <w:tc>
          <w:tcPr>
            <w:tcW w:w="585" w:type="pct"/>
            <w:tcBorders>
              <w:tl2br w:val="nil"/>
              <w:tr2bl w:val="nil"/>
            </w:tcBorders>
            <w:shd w:val="clear" w:color="000000" w:fill="FFFFFF"/>
            <w:noWrap/>
            <w:vAlign w:val="center"/>
          </w:tcPr>
          <w:p w14:paraId="0C5B6D57">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140.9</w:t>
            </w:r>
          </w:p>
        </w:tc>
        <w:tc>
          <w:tcPr>
            <w:tcW w:w="525" w:type="pct"/>
            <w:tcBorders>
              <w:tl2br w:val="nil"/>
              <w:tr2bl w:val="nil"/>
            </w:tcBorders>
            <w:shd w:val="clear" w:color="000000" w:fill="FFFFFF"/>
            <w:noWrap/>
            <w:vAlign w:val="center"/>
          </w:tcPr>
          <w:p w14:paraId="55F2DFCB">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30.38</w:t>
            </w:r>
          </w:p>
        </w:tc>
        <w:tc>
          <w:tcPr>
            <w:tcW w:w="728" w:type="pct"/>
            <w:tcBorders>
              <w:tl2br w:val="nil"/>
              <w:tr2bl w:val="nil"/>
            </w:tcBorders>
            <w:shd w:val="clear" w:color="000000" w:fill="FFFFFF"/>
            <w:noWrap/>
            <w:vAlign w:val="center"/>
          </w:tcPr>
          <w:p w14:paraId="201BBA6B">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78.41</w:t>
            </w:r>
          </w:p>
        </w:tc>
      </w:tr>
      <w:tr w14:paraId="0D30301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654" w:type="pct"/>
            <w:tcBorders>
              <w:tl2br w:val="nil"/>
              <w:tr2bl w:val="nil"/>
            </w:tcBorders>
            <w:shd w:val="clear" w:color="auto" w:fill="auto"/>
            <w:noWrap/>
            <w:vAlign w:val="center"/>
          </w:tcPr>
          <w:p w14:paraId="0F02A6D9">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总计</w:t>
            </w:r>
          </w:p>
        </w:tc>
        <w:tc>
          <w:tcPr>
            <w:tcW w:w="686" w:type="pct"/>
            <w:tcBorders>
              <w:tl2br w:val="nil"/>
              <w:tr2bl w:val="nil"/>
            </w:tcBorders>
            <w:shd w:val="clear" w:color="auto" w:fill="auto"/>
            <w:noWrap/>
            <w:vAlign w:val="center"/>
          </w:tcPr>
          <w:p w14:paraId="6E99D9CB">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47008.2</w:t>
            </w:r>
          </w:p>
        </w:tc>
        <w:tc>
          <w:tcPr>
            <w:tcW w:w="650" w:type="pct"/>
            <w:tcBorders>
              <w:tl2br w:val="nil"/>
              <w:tr2bl w:val="nil"/>
            </w:tcBorders>
            <w:shd w:val="clear" w:color="auto" w:fill="auto"/>
            <w:noWrap/>
            <w:vAlign w:val="center"/>
          </w:tcPr>
          <w:p w14:paraId="37F55D3A">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30826.78</w:t>
            </w:r>
          </w:p>
        </w:tc>
        <w:tc>
          <w:tcPr>
            <w:tcW w:w="585" w:type="pct"/>
            <w:tcBorders>
              <w:tl2br w:val="nil"/>
              <w:tr2bl w:val="nil"/>
            </w:tcBorders>
            <w:shd w:val="clear" w:color="auto" w:fill="auto"/>
            <w:noWrap/>
            <w:vAlign w:val="center"/>
          </w:tcPr>
          <w:p w14:paraId="0312FBA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7651.77</w:t>
            </w:r>
          </w:p>
        </w:tc>
        <w:tc>
          <w:tcPr>
            <w:tcW w:w="585" w:type="pct"/>
            <w:tcBorders>
              <w:tl2br w:val="nil"/>
              <w:tr2bl w:val="nil"/>
            </w:tcBorders>
            <w:shd w:val="clear" w:color="auto" w:fill="auto"/>
            <w:noWrap/>
            <w:vAlign w:val="center"/>
          </w:tcPr>
          <w:p w14:paraId="769D818A">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4785.34</w:t>
            </w:r>
          </w:p>
        </w:tc>
        <w:tc>
          <w:tcPr>
            <w:tcW w:w="585" w:type="pct"/>
            <w:tcBorders>
              <w:tl2br w:val="nil"/>
              <w:tr2bl w:val="nil"/>
            </w:tcBorders>
            <w:shd w:val="clear" w:color="auto" w:fill="auto"/>
            <w:noWrap/>
            <w:vAlign w:val="center"/>
          </w:tcPr>
          <w:p w14:paraId="0D8FA655">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3068.93</w:t>
            </w:r>
          </w:p>
        </w:tc>
        <w:tc>
          <w:tcPr>
            <w:tcW w:w="525" w:type="pct"/>
            <w:tcBorders>
              <w:tl2br w:val="nil"/>
              <w:tr2bl w:val="nil"/>
            </w:tcBorders>
            <w:shd w:val="clear" w:color="000000" w:fill="FFFFFF"/>
            <w:noWrap/>
            <w:vAlign w:val="center"/>
          </w:tcPr>
          <w:p w14:paraId="584B4274">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675.38</w:t>
            </w:r>
          </w:p>
        </w:tc>
        <w:tc>
          <w:tcPr>
            <w:tcW w:w="728" w:type="pct"/>
            <w:tcBorders>
              <w:tl2br w:val="nil"/>
              <w:tr2bl w:val="nil"/>
            </w:tcBorders>
            <w:shd w:val="clear" w:color="auto" w:fill="auto"/>
            <w:noWrap/>
            <w:vAlign w:val="center"/>
          </w:tcPr>
          <w:p w14:paraId="5CA31366">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73.32</w:t>
            </w:r>
          </w:p>
        </w:tc>
      </w:tr>
    </w:tbl>
    <w:p w14:paraId="62C86A73">
      <w:pPr>
        <w:pStyle w:val="12"/>
        <w:rPr>
          <w:rFonts w:hint="default" w:ascii="Times New Roman" w:hAnsi="Times New Roman" w:cs="Times New Roman"/>
          <w:color w:val="auto"/>
        </w:rPr>
      </w:pPr>
    </w:p>
    <w:p w14:paraId="0155B2C2">
      <w:pPr>
        <w:pStyle w:val="23"/>
        <w:spacing w:line="360" w:lineRule="auto"/>
        <w:ind w:firstLine="560"/>
        <w:rPr>
          <w:rFonts w:hint="default" w:ascii="Times New Roman" w:hAnsi="Times New Roman" w:cs="Times New Roman" w:eastAsiaTheme="minorEastAsia"/>
          <w:color w:val="auto"/>
          <w:sz w:val="28"/>
          <w:szCs w:val="28"/>
          <w:lang w:bidi="en-US"/>
        </w:rPr>
      </w:pPr>
      <w:r>
        <w:rPr>
          <w:rFonts w:hint="default" w:ascii="Times New Roman" w:hAnsi="Times New Roman" w:cs="Times New Roman" w:eastAsiaTheme="minorEastAsia"/>
          <w:color w:val="auto"/>
          <w:sz w:val="28"/>
          <w:szCs w:val="28"/>
          <w:lang w:bidi="en-US"/>
        </w:rPr>
        <w:t>全省长江流域水土流失面积31298.32平方公里，占流域土地总面积的27.04%，其中轻度流失20133.58平方公里，占流失面积的64.33%；中度流失5312.98平方公里，占流失面积的16.98%；强烈及以上流失5850.76平方公里，占流失面积的18.69%；全省珠江流域水土流失面积为15709.88平方公里，占流域土地总面积26.00%，其中轻度流失10693.20平方公里，占流失面积的68.07%；中度流失2337平方公里，占流失面积的14.88%；强烈及以上流失2678.89平方公里，占流失面积的17.05%。</w:t>
      </w:r>
      <w:r>
        <w:rPr>
          <w:rFonts w:hint="default" w:ascii="Times New Roman" w:hAnsi="Times New Roman" w:cs="Times New Roman" w:eastAsiaTheme="minorEastAsia"/>
          <w:color w:val="auto"/>
          <w:sz w:val="28"/>
          <w:szCs w:val="28"/>
          <w:lang w:val="en-US" w:eastAsia="zh-CN" w:bidi="en-US"/>
        </w:rPr>
        <w:t>各</w:t>
      </w:r>
      <w:r>
        <w:rPr>
          <w:rFonts w:hint="default" w:ascii="Times New Roman" w:hAnsi="Times New Roman" w:cs="Times New Roman" w:eastAsiaTheme="minorEastAsia"/>
          <w:color w:val="auto"/>
          <w:sz w:val="28"/>
          <w:szCs w:val="28"/>
          <w:lang w:bidi="en-US"/>
        </w:rPr>
        <w:t>水系水土流失面积及强度</w:t>
      </w:r>
      <w:r>
        <w:rPr>
          <w:rFonts w:hint="default" w:ascii="Times New Roman" w:hAnsi="Times New Roman" w:cs="Times New Roman" w:eastAsiaTheme="minorEastAsia"/>
          <w:color w:val="auto"/>
          <w:sz w:val="28"/>
          <w:szCs w:val="28"/>
          <w:lang w:val="en-US" w:eastAsia="zh-CN" w:bidi="en-US"/>
        </w:rPr>
        <w:t>详</w:t>
      </w:r>
      <w:r>
        <w:rPr>
          <w:rFonts w:hint="default" w:ascii="Times New Roman" w:hAnsi="Times New Roman" w:cs="Times New Roman" w:eastAsiaTheme="minorEastAsia"/>
          <w:color w:val="auto"/>
          <w:sz w:val="28"/>
          <w:szCs w:val="28"/>
          <w:lang w:bidi="en-US"/>
        </w:rPr>
        <w:t>见表1-2。</w:t>
      </w:r>
    </w:p>
    <w:p w14:paraId="41D85436">
      <w:pPr>
        <w:keepNext w:val="0"/>
        <w:keepLines w:val="0"/>
        <w:pageBreakBefore w:val="0"/>
        <w:widowControl w:val="0"/>
        <w:kinsoku/>
        <w:wordWrap/>
        <w:overflowPunct/>
        <w:topLinePunct w:val="0"/>
        <w:autoSpaceDE/>
        <w:autoSpaceDN/>
        <w:bidi w:val="0"/>
        <w:adjustRightInd w:val="0"/>
        <w:snapToGrid w:val="0"/>
        <w:spacing w:before="157" w:beforeLines="5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表1-2    贵州省2020年各水系水土流失面积及强度表</w:t>
      </w:r>
      <w:r>
        <w:rPr>
          <w:rFonts w:hint="default" w:ascii="Times New Roman" w:hAnsi="Times New Roman" w:cs="Times New Roman"/>
          <w:b/>
          <w:bCs/>
          <w:color w:val="auto"/>
          <w:sz w:val="28"/>
          <w:szCs w:val="28"/>
          <w:lang w:val="en-US" w:eastAsia="zh-CN"/>
        </w:rPr>
        <w:t xml:space="preserve">   </w:t>
      </w:r>
      <w:r>
        <w:rPr>
          <w:rFonts w:hint="default" w:ascii="Times New Roman" w:hAnsi="Times New Roman" w:cs="Times New Roman"/>
          <w:b/>
          <w:bCs/>
          <w:color w:val="auto"/>
          <w:sz w:val="28"/>
          <w:szCs w:val="28"/>
        </w:rPr>
        <w:t>单位:km</w:t>
      </w:r>
      <w:r>
        <w:rPr>
          <w:rFonts w:hint="default" w:ascii="Times New Roman" w:hAnsi="Times New Roman" w:cs="Times New Roman"/>
          <w:b/>
          <w:bCs/>
          <w:color w:val="auto"/>
          <w:sz w:val="28"/>
          <w:szCs w:val="28"/>
          <w:vertAlign w:val="superscript"/>
        </w:rPr>
        <w:t>2</w:t>
      </w:r>
    </w:p>
    <w:tbl>
      <w:tblPr>
        <w:tblStyle w:val="19"/>
        <w:tblW w:w="592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55"/>
        <w:gridCol w:w="1020"/>
        <w:gridCol w:w="795"/>
        <w:gridCol w:w="990"/>
        <w:gridCol w:w="660"/>
        <w:gridCol w:w="870"/>
        <w:gridCol w:w="705"/>
        <w:gridCol w:w="885"/>
        <w:gridCol w:w="720"/>
        <w:gridCol w:w="930"/>
      </w:tblGrid>
      <w:tr w14:paraId="1B24CE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restart"/>
            <w:tcBorders>
              <w:tl2br w:val="nil"/>
              <w:tr2bl w:val="nil"/>
            </w:tcBorders>
            <w:shd w:val="clear" w:color="auto" w:fill="auto"/>
            <w:noWrap/>
            <w:vAlign w:val="center"/>
          </w:tcPr>
          <w:p w14:paraId="710663B2">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流域</w:t>
            </w:r>
          </w:p>
        </w:tc>
        <w:tc>
          <w:tcPr>
            <w:tcW w:w="869" w:type="pct"/>
            <w:vMerge w:val="restart"/>
            <w:tcBorders>
              <w:tl2br w:val="nil"/>
              <w:tr2bl w:val="nil"/>
            </w:tcBorders>
            <w:shd w:val="clear" w:color="auto" w:fill="auto"/>
            <w:noWrap/>
            <w:vAlign w:val="center"/>
          </w:tcPr>
          <w:p w14:paraId="64DFEAF7">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水系</w:t>
            </w:r>
          </w:p>
        </w:tc>
        <w:tc>
          <w:tcPr>
            <w:tcW w:w="898" w:type="pct"/>
            <w:gridSpan w:val="2"/>
            <w:vMerge w:val="restart"/>
            <w:tcBorders>
              <w:tl2br w:val="nil"/>
              <w:tr2bl w:val="nil"/>
            </w:tcBorders>
            <w:shd w:val="clear" w:color="auto" w:fill="auto"/>
            <w:noWrap/>
            <w:vAlign w:val="center"/>
          </w:tcPr>
          <w:p w14:paraId="5BF93D89">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水土流失面积</w:t>
            </w:r>
          </w:p>
        </w:tc>
        <w:tc>
          <w:tcPr>
            <w:tcW w:w="2392" w:type="pct"/>
            <w:gridSpan w:val="6"/>
            <w:tcBorders>
              <w:tl2br w:val="nil"/>
              <w:tr2bl w:val="nil"/>
            </w:tcBorders>
            <w:shd w:val="clear" w:color="000000" w:fill="FFFFFF"/>
            <w:noWrap/>
            <w:vAlign w:val="center"/>
          </w:tcPr>
          <w:p w14:paraId="507D5B98">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各级水土流失强度及面积</w:t>
            </w:r>
          </w:p>
        </w:tc>
        <w:tc>
          <w:tcPr>
            <w:tcW w:w="460" w:type="pct"/>
            <w:vMerge w:val="restart"/>
            <w:tcBorders>
              <w:tl2br w:val="nil"/>
              <w:tr2bl w:val="nil"/>
            </w:tcBorders>
            <w:shd w:val="clear" w:color="000000" w:fill="FFFFFF"/>
            <w:vAlign w:val="center"/>
          </w:tcPr>
          <w:p w14:paraId="0DBC97B8">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水土</w:t>
            </w:r>
            <w:r>
              <w:rPr>
                <w:rFonts w:hint="default" w:ascii="Times New Roman" w:hAnsi="Times New Roman" w:eastAsia="宋体" w:cs="Times New Roman"/>
                <w:b/>
                <w:bCs/>
                <w:color w:val="auto"/>
                <w:kern w:val="0"/>
                <w:sz w:val="21"/>
                <w:szCs w:val="21"/>
              </w:rPr>
              <w:br w:type="textWrapping"/>
            </w:r>
            <w:r>
              <w:rPr>
                <w:rFonts w:hint="default" w:ascii="Times New Roman" w:hAnsi="Times New Roman" w:eastAsia="宋体" w:cs="Times New Roman"/>
                <w:b/>
                <w:bCs/>
                <w:color w:val="auto"/>
                <w:kern w:val="0"/>
                <w:sz w:val="21"/>
                <w:szCs w:val="21"/>
              </w:rPr>
              <w:t>保持率</w:t>
            </w:r>
            <w:r>
              <w:rPr>
                <w:rFonts w:hint="default" w:ascii="Times New Roman" w:hAnsi="Times New Roman" w:eastAsia="宋体" w:cs="Times New Roman"/>
                <w:b/>
                <w:bCs/>
                <w:color w:val="auto"/>
                <w:kern w:val="0"/>
                <w:sz w:val="21"/>
                <w:szCs w:val="21"/>
              </w:rPr>
              <w:br w:type="textWrapping"/>
            </w:r>
            <w:r>
              <w:rPr>
                <w:rFonts w:hint="default" w:ascii="Times New Roman" w:hAnsi="Times New Roman" w:eastAsia="宋体" w:cs="Times New Roman"/>
                <w:b/>
                <w:bCs/>
                <w:color w:val="auto"/>
                <w:kern w:val="0"/>
                <w:sz w:val="21"/>
                <w:szCs w:val="21"/>
              </w:rPr>
              <w:t>（%）</w:t>
            </w:r>
          </w:p>
        </w:tc>
      </w:tr>
      <w:tr w14:paraId="020904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14:paraId="71A3D990">
            <w:pPr>
              <w:widowControl/>
              <w:jc w:val="left"/>
              <w:rPr>
                <w:rFonts w:hint="default" w:ascii="Times New Roman" w:hAnsi="Times New Roman" w:eastAsia="宋体" w:cs="Times New Roman"/>
                <w:b/>
                <w:bCs/>
                <w:color w:val="auto"/>
                <w:kern w:val="0"/>
                <w:sz w:val="21"/>
                <w:szCs w:val="21"/>
              </w:rPr>
            </w:pPr>
          </w:p>
        </w:tc>
        <w:tc>
          <w:tcPr>
            <w:tcW w:w="869" w:type="pct"/>
            <w:vMerge w:val="continue"/>
            <w:tcBorders>
              <w:tl2br w:val="nil"/>
              <w:tr2bl w:val="nil"/>
            </w:tcBorders>
            <w:vAlign w:val="center"/>
          </w:tcPr>
          <w:p w14:paraId="20F9F027">
            <w:pPr>
              <w:widowControl/>
              <w:jc w:val="left"/>
              <w:rPr>
                <w:rFonts w:hint="default" w:ascii="Times New Roman" w:hAnsi="Times New Roman" w:eastAsia="宋体" w:cs="Times New Roman"/>
                <w:b/>
                <w:bCs/>
                <w:color w:val="auto"/>
                <w:kern w:val="0"/>
                <w:sz w:val="21"/>
                <w:szCs w:val="21"/>
              </w:rPr>
            </w:pPr>
          </w:p>
        </w:tc>
        <w:tc>
          <w:tcPr>
            <w:tcW w:w="898" w:type="pct"/>
            <w:gridSpan w:val="2"/>
            <w:vMerge w:val="continue"/>
            <w:tcBorders>
              <w:tl2br w:val="nil"/>
              <w:tr2bl w:val="nil"/>
            </w:tcBorders>
            <w:vAlign w:val="center"/>
          </w:tcPr>
          <w:p w14:paraId="794B95C2">
            <w:pPr>
              <w:widowControl/>
              <w:jc w:val="left"/>
              <w:rPr>
                <w:rFonts w:hint="default" w:ascii="Times New Roman" w:hAnsi="Times New Roman" w:eastAsia="宋体" w:cs="Times New Roman"/>
                <w:b/>
                <w:bCs/>
                <w:color w:val="auto"/>
                <w:kern w:val="0"/>
                <w:sz w:val="21"/>
                <w:szCs w:val="21"/>
              </w:rPr>
            </w:pPr>
          </w:p>
        </w:tc>
        <w:tc>
          <w:tcPr>
            <w:tcW w:w="817" w:type="pct"/>
            <w:gridSpan w:val="2"/>
            <w:tcBorders>
              <w:tl2br w:val="nil"/>
              <w:tr2bl w:val="nil"/>
            </w:tcBorders>
            <w:shd w:val="clear" w:color="auto" w:fill="auto"/>
            <w:noWrap/>
            <w:vAlign w:val="center"/>
          </w:tcPr>
          <w:p w14:paraId="0CA40FB1">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轻度</w:t>
            </w:r>
          </w:p>
        </w:tc>
        <w:tc>
          <w:tcPr>
            <w:tcW w:w="780" w:type="pct"/>
            <w:gridSpan w:val="2"/>
            <w:tcBorders>
              <w:tl2br w:val="nil"/>
              <w:tr2bl w:val="nil"/>
            </w:tcBorders>
            <w:shd w:val="clear" w:color="auto" w:fill="auto"/>
            <w:noWrap/>
            <w:vAlign w:val="center"/>
          </w:tcPr>
          <w:p w14:paraId="429C0F4D">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中度</w:t>
            </w:r>
          </w:p>
        </w:tc>
        <w:tc>
          <w:tcPr>
            <w:tcW w:w="794" w:type="pct"/>
            <w:gridSpan w:val="2"/>
            <w:tcBorders>
              <w:tl2br w:val="nil"/>
              <w:tr2bl w:val="nil"/>
            </w:tcBorders>
            <w:shd w:val="clear" w:color="auto" w:fill="auto"/>
            <w:noWrap/>
            <w:vAlign w:val="center"/>
          </w:tcPr>
          <w:p w14:paraId="7175C4A8">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强烈及以上</w:t>
            </w:r>
          </w:p>
        </w:tc>
        <w:tc>
          <w:tcPr>
            <w:tcW w:w="460" w:type="pct"/>
            <w:vMerge w:val="continue"/>
            <w:tcBorders>
              <w:tl2br w:val="nil"/>
              <w:tr2bl w:val="nil"/>
            </w:tcBorders>
            <w:vAlign w:val="center"/>
          </w:tcPr>
          <w:p w14:paraId="3E33EA40">
            <w:pPr>
              <w:widowControl/>
              <w:jc w:val="left"/>
              <w:rPr>
                <w:rFonts w:hint="default" w:ascii="Times New Roman" w:hAnsi="Times New Roman" w:eastAsia="宋体" w:cs="Times New Roman"/>
                <w:b/>
                <w:bCs/>
                <w:color w:val="auto"/>
                <w:kern w:val="0"/>
                <w:sz w:val="21"/>
                <w:szCs w:val="21"/>
              </w:rPr>
            </w:pPr>
          </w:p>
        </w:tc>
      </w:tr>
      <w:tr w14:paraId="65BDC6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14:paraId="3CA97AAA">
            <w:pPr>
              <w:widowControl/>
              <w:jc w:val="left"/>
              <w:rPr>
                <w:rFonts w:hint="default" w:ascii="Times New Roman" w:hAnsi="Times New Roman" w:eastAsia="宋体" w:cs="Times New Roman"/>
                <w:b/>
                <w:bCs/>
                <w:color w:val="auto"/>
                <w:kern w:val="0"/>
                <w:sz w:val="21"/>
                <w:szCs w:val="21"/>
              </w:rPr>
            </w:pPr>
          </w:p>
        </w:tc>
        <w:tc>
          <w:tcPr>
            <w:tcW w:w="869" w:type="pct"/>
            <w:vMerge w:val="continue"/>
            <w:tcBorders>
              <w:tl2br w:val="nil"/>
              <w:tr2bl w:val="nil"/>
            </w:tcBorders>
            <w:vAlign w:val="center"/>
          </w:tcPr>
          <w:p w14:paraId="7D60A236">
            <w:pPr>
              <w:widowControl/>
              <w:jc w:val="left"/>
              <w:rPr>
                <w:rFonts w:hint="default" w:ascii="Times New Roman" w:hAnsi="Times New Roman" w:eastAsia="宋体" w:cs="Times New Roman"/>
                <w:b/>
                <w:bCs/>
                <w:color w:val="auto"/>
                <w:kern w:val="0"/>
                <w:sz w:val="21"/>
                <w:szCs w:val="21"/>
              </w:rPr>
            </w:pPr>
          </w:p>
        </w:tc>
        <w:tc>
          <w:tcPr>
            <w:tcW w:w="505" w:type="pct"/>
            <w:tcBorders>
              <w:tl2br w:val="nil"/>
              <w:tr2bl w:val="nil"/>
            </w:tcBorders>
            <w:shd w:val="clear" w:color="auto" w:fill="auto"/>
            <w:noWrap/>
            <w:vAlign w:val="center"/>
          </w:tcPr>
          <w:p w14:paraId="3ED7A8DF">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面积</w:t>
            </w:r>
          </w:p>
        </w:tc>
        <w:tc>
          <w:tcPr>
            <w:tcW w:w="393" w:type="pct"/>
            <w:tcBorders>
              <w:tl2br w:val="nil"/>
              <w:tr2bl w:val="nil"/>
            </w:tcBorders>
            <w:shd w:val="clear" w:color="auto" w:fill="auto"/>
            <w:noWrap/>
            <w:vAlign w:val="center"/>
          </w:tcPr>
          <w:p w14:paraId="6E21360A">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w:t>
            </w:r>
          </w:p>
        </w:tc>
        <w:tc>
          <w:tcPr>
            <w:tcW w:w="490" w:type="pct"/>
            <w:tcBorders>
              <w:tl2br w:val="nil"/>
              <w:tr2bl w:val="nil"/>
            </w:tcBorders>
            <w:shd w:val="clear" w:color="auto" w:fill="auto"/>
            <w:noWrap/>
            <w:vAlign w:val="center"/>
          </w:tcPr>
          <w:p w14:paraId="5CE1F082">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面积</w:t>
            </w:r>
          </w:p>
        </w:tc>
        <w:tc>
          <w:tcPr>
            <w:tcW w:w="326" w:type="pct"/>
            <w:tcBorders>
              <w:tl2br w:val="nil"/>
              <w:tr2bl w:val="nil"/>
            </w:tcBorders>
            <w:shd w:val="clear" w:color="auto" w:fill="auto"/>
            <w:noWrap/>
            <w:vAlign w:val="center"/>
          </w:tcPr>
          <w:p w14:paraId="334BC510">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w:t>
            </w:r>
          </w:p>
        </w:tc>
        <w:tc>
          <w:tcPr>
            <w:tcW w:w="430" w:type="pct"/>
            <w:tcBorders>
              <w:tl2br w:val="nil"/>
              <w:tr2bl w:val="nil"/>
            </w:tcBorders>
            <w:shd w:val="clear" w:color="auto" w:fill="auto"/>
            <w:noWrap/>
            <w:vAlign w:val="center"/>
          </w:tcPr>
          <w:p w14:paraId="01831EC6">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面积</w:t>
            </w:r>
          </w:p>
        </w:tc>
        <w:tc>
          <w:tcPr>
            <w:tcW w:w="349" w:type="pct"/>
            <w:tcBorders>
              <w:tl2br w:val="nil"/>
              <w:tr2bl w:val="nil"/>
            </w:tcBorders>
            <w:shd w:val="clear" w:color="auto" w:fill="auto"/>
            <w:noWrap/>
            <w:vAlign w:val="center"/>
          </w:tcPr>
          <w:p w14:paraId="5CD47F7F">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w:t>
            </w:r>
          </w:p>
        </w:tc>
        <w:tc>
          <w:tcPr>
            <w:tcW w:w="438" w:type="pct"/>
            <w:tcBorders>
              <w:tl2br w:val="nil"/>
              <w:tr2bl w:val="nil"/>
            </w:tcBorders>
            <w:shd w:val="clear" w:color="auto" w:fill="auto"/>
            <w:noWrap/>
            <w:vAlign w:val="center"/>
          </w:tcPr>
          <w:p w14:paraId="712C145F">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面积</w:t>
            </w:r>
          </w:p>
        </w:tc>
        <w:tc>
          <w:tcPr>
            <w:tcW w:w="356" w:type="pct"/>
            <w:tcBorders>
              <w:tl2br w:val="nil"/>
              <w:tr2bl w:val="nil"/>
            </w:tcBorders>
            <w:shd w:val="clear" w:color="auto" w:fill="auto"/>
            <w:noWrap/>
            <w:vAlign w:val="center"/>
          </w:tcPr>
          <w:p w14:paraId="7A6D4E50">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w:t>
            </w:r>
          </w:p>
        </w:tc>
        <w:tc>
          <w:tcPr>
            <w:tcW w:w="460" w:type="pct"/>
            <w:vMerge w:val="continue"/>
            <w:tcBorders>
              <w:tl2br w:val="nil"/>
              <w:tr2bl w:val="nil"/>
            </w:tcBorders>
            <w:vAlign w:val="center"/>
          </w:tcPr>
          <w:p w14:paraId="470A6B91">
            <w:pPr>
              <w:widowControl/>
              <w:jc w:val="left"/>
              <w:rPr>
                <w:rFonts w:hint="default" w:ascii="Times New Roman" w:hAnsi="Times New Roman" w:eastAsia="宋体" w:cs="Times New Roman"/>
                <w:b/>
                <w:bCs/>
                <w:color w:val="auto"/>
                <w:kern w:val="0"/>
                <w:sz w:val="21"/>
                <w:szCs w:val="21"/>
              </w:rPr>
            </w:pPr>
          </w:p>
        </w:tc>
      </w:tr>
      <w:tr w14:paraId="5D2B0B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restart"/>
            <w:tcBorders>
              <w:tl2br w:val="nil"/>
              <w:tr2bl w:val="nil"/>
            </w:tcBorders>
            <w:shd w:val="clear" w:color="000000" w:fill="FFFFFF"/>
            <w:noWrap/>
            <w:vAlign w:val="center"/>
          </w:tcPr>
          <w:p w14:paraId="547A5322">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长江</w:t>
            </w:r>
          </w:p>
          <w:p w14:paraId="08AD53B6">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流域</w:t>
            </w:r>
          </w:p>
        </w:tc>
        <w:tc>
          <w:tcPr>
            <w:tcW w:w="869" w:type="pct"/>
            <w:tcBorders>
              <w:tl2br w:val="nil"/>
              <w:tr2bl w:val="nil"/>
            </w:tcBorders>
            <w:shd w:val="clear" w:color="000000" w:fill="FFFFFF"/>
            <w:noWrap/>
            <w:vAlign w:val="center"/>
          </w:tcPr>
          <w:p w14:paraId="24EE04D1">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乌江水系</w:t>
            </w:r>
          </w:p>
        </w:tc>
        <w:tc>
          <w:tcPr>
            <w:tcW w:w="505" w:type="pct"/>
            <w:tcBorders>
              <w:tl2br w:val="nil"/>
              <w:tr2bl w:val="nil"/>
            </w:tcBorders>
            <w:shd w:val="clear" w:color="000000" w:fill="FFFFFF"/>
            <w:noWrap/>
            <w:vAlign w:val="center"/>
          </w:tcPr>
          <w:p w14:paraId="58E7EB1A">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20245.55</w:t>
            </w:r>
          </w:p>
        </w:tc>
        <w:tc>
          <w:tcPr>
            <w:tcW w:w="393" w:type="pct"/>
            <w:tcBorders>
              <w:tl2br w:val="nil"/>
              <w:tr2bl w:val="nil"/>
            </w:tcBorders>
            <w:shd w:val="clear" w:color="000000" w:fill="FFFFFF"/>
            <w:noWrap/>
            <w:vAlign w:val="center"/>
          </w:tcPr>
          <w:p w14:paraId="466CC74E">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30.57</w:t>
            </w:r>
          </w:p>
        </w:tc>
        <w:tc>
          <w:tcPr>
            <w:tcW w:w="490" w:type="pct"/>
            <w:tcBorders>
              <w:tl2br w:val="nil"/>
              <w:tr2bl w:val="nil"/>
            </w:tcBorders>
            <w:shd w:val="clear" w:color="000000" w:fill="FFFFFF"/>
            <w:noWrap/>
            <w:vAlign w:val="center"/>
          </w:tcPr>
          <w:p w14:paraId="641803CB">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13004.24</w:t>
            </w:r>
          </w:p>
        </w:tc>
        <w:tc>
          <w:tcPr>
            <w:tcW w:w="326" w:type="pct"/>
            <w:tcBorders>
              <w:tl2br w:val="nil"/>
              <w:tr2bl w:val="nil"/>
            </w:tcBorders>
            <w:shd w:val="clear" w:color="000000" w:fill="FFFFFF"/>
            <w:noWrap/>
            <w:vAlign w:val="center"/>
          </w:tcPr>
          <w:p w14:paraId="236E4BB3">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63.67</w:t>
            </w:r>
          </w:p>
        </w:tc>
        <w:tc>
          <w:tcPr>
            <w:tcW w:w="430" w:type="pct"/>
            <w:tcBorders>
              <w:tl2br w:val="nil"/>
              <w:tr2bl w:val="nil"/>
            </w:tcBorders>
            <w:shd w:val="clear" w:color="000000" w:fill="FFFFFF"/>
            <w:noWrap/>
            <w:vAlign w:val="center"/>
          </w:tcPr>
          <w:p w14:paraId="52AF578B">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3549.43</w:t>
            </w:r>
          </w:p>
        </w:tc>
        <w:tc>
          <w:tcPr>
            <w:tcW w:w="349" w:type="pct"/>
            <w:tcBorders>
              <w:tl2br w:val="nil"/>
              <w:tr2bl w:val="nil"/>
            </w:tcBorders>
            <w:shd w:val="clear" w:color="000000" w:fill="FFFFFF"/>
            <w:noWrap/>
            <w:vAlign w:val="center"/>
          </w:tcPr>
          <w:p w14:paraId="52111CE0">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17.38</w:t>
            </w:r>
          </w:p>
        </w:tc>
        <w:tc>
          <w:tcPr>
            <w:tcW w:w="438" w:type="pct"/>
            <w:tcBorders>
              <w:tl2br w:val="nil"/>
              <w:tr2bl w:val="nil"/>
            </w:tcBorders>
            <w:shd w:val="clear" w:color="000000" w:fill="FFFFFF"/>
            <w:noWrap/>
            <w:vAlign w:val="center"/>
          </w:tcPr>
          <w:p w14:paraId="7287FACD">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3871.88</w:t>
            </w:r>
          </w:p>
        </w:tc>
        <w:tc>
          <w:tcPr>
            <w:tcW w:w="356" w:type="pct"/>
            <w:tcBorders>
              <w:tl2br w:val="nil"/>
              <w:tr2bl w:val="nil"/>
            </w:tcBorders>
            <w:shd w:val="clear" w:color="000000" w:fill="FFFFFF"/>
            <w:noWrap/>
            <w:vAlign w:val="center"/>
          </w:tcPr>
          <w:p w14:paraId="7D1CA9B9">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18.96</w:t>
            </w:r>
          </w:p>
        </w:tc>
        <w:tc>
          <w:tcPr>
            <w:tcW w:w="460" w:type="pct"/>
            <w:tcBorders>
              <w:tl2br w:val="nil"/>
              <w:tr2bl w:val="nil"/>
            </w:tcBorders>
            <w:shd w:val="clear" w:color="000000" w:fill="FFFFFF"/>
            <w:noWrap/>
            <w:vAlign w:val="center"/>
          </w:tcPr>
          <w:p w14:paraId="1F902656">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69.43 </w:t>
            </w:r>
          </w:p>
        </w:tc>
      </w:tr>
      <w:tr w14:paraId="3F43DE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14:paraId="0B68F13B">
            <w:pPr>
              <w:widowControl/>
              <w:jc w:val="left"/>
              <w:rPr>
                <w:rFonts w:hint="default" w:ascii="Times New Roman" w:hAnsi="Times New Roman" w:eastAsia="宋体" w:cs="Times New Roman"/>
                <w:color w:val="auto"/>
                <w:kern w:val="0"/>
                <w:sz w:val="21"/>
                <w:szCs w:val="21"/>
              </w:rPr>
            </w:pPr>
          </w:p>
        </w:tc>
        <w:tc>
          <w:tcPr>
            <w:tcW w:w="869" w:type="pct"/>
            <w:tcBorders>
              <w:tl2br w:val="nil"/>
              <w:tr2bl w:val="nil"/>
            </w:tcBorders>
            <w:shd w:val="clear" w:color="auto" w:fill="auto"/>
            <w:noWrap/>
            <w:vAlign w:val="center"/>
          </w:tcPr>
          <w:p w14:paraId="154E984B">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沅江水系</w:t>
            </w:r>
          </w:p>
        </w:tc>
        <w:tc>
          <w:tcPr>
            <w:tcW w:w="505" w:type="pct"/>
            <w:tcBorders>
              <w:tl2br w:val="nil"/>
              <w:tr2bl w:val="nil"/>
            </w:tcBorders>
            <w:shd w:val="clear" w:color="000000" w:fill="FFFFFF"/>
            <w:noWrap/>
            <w:vAlign w:val="center"/>
          </w:tcPr>
          <w:p w14:paraId="7110094B">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5543.91</w:t>
            </w:r>
          </w:p>
        </w:tc>
        <w:tc>
          <w:tcPr>
            <w:tcW w:w="393" w:type="pct"/>
            <w:tcBorders>
              <w:tl2br w:val="nil"/>
              <w:tr2bl w:val="nil"/>
            </w:tcBorders>
            <w:shd w:val="clear" w:color="000000" w:fill="FFFFFF"/>
            <w:noWrap/>
            <w:vAlign w:val="center"/>
          </w:tcPr>
          <w:p w14:paraId="43E13550">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18.33</w:t>
            </w:r>
          </w:p>
        </w:tc>
        <w:tc>
          <w:tcPr>
            <w:tcW w:w="490" w:type="pct"/>
            <w:tcBorders>
              <w:tl2br w:val="nil"/>
              <w:tr2bl w:val="nil"/>
            </w:tcBorders>
            <w:shd w:val="clear" w:color="000000" w:fill="FFFFFF"/>
            <w:noWrap/>
            <w:vAlign w:val="center"/>
          </w:tcPr>
          <w:p w14:paraId="3C38E2EC">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3755.95</w:t>
            </w:r>
          </w:p>
        </w:tc>
        <w:tc>
          <w:tcPr>
            <w:tcW w:w="326" w:type="pct"/>
            <w:tcBorders>
              <w:tl2br w:val="nil"/>
              <w:tr2bl w:val="nil"/>
            </w:tcBorders>
            <w:shd w:val="clear" w:color="000000" w:fill="FFFFFF"/>
            <w:noWrap/>
            <w:vAlign w:val="center"/>
          </w:tcPr>
          <w:p w14:paraId="54A830E1">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67.75</w:t>
            </w:r>
          </w:p>
        </w:tc>
        <w:tc>
          <w:tcPr>
            <w:tcW w:w="430" w:type="pct"/>
            <w:tcBorders>
              <w:tl2br w:val="nil"/>
              <w:tr2bl w:val="nil"/>
            </w:tcBorders>
            <w:shd w:val="clear" w:color="000000" w:fill="FFFFFF"/>
            <w:noWrap/>
            <w:vAlign w:val="center"/>
          </w:tcPr>
          <w:p w14:paraId="71E2AC40">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836.84</w:t>
            </w:r>
          </w:p>
        </w:tc>
        <w:tc>
          <w:tcPr>
            <w:tcW w:w="349" w:type="pct"/>
            <w:tcBorders>
              <w:tl2br w:val="nil"/>
              <w:tr2bl w:val="nil"/>
            </w:tcBorders>
            <w:shd w:val="clear" w:color="000000" w:fill="FFFFFF"/>
            <w:noWrap/>
            <w:vAlign w:val="center"/>
          </w:tcPr>
          <w:p w14:paraId="0510440E">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15.09</w:t>
            </w:r>
          </w:p>
        </w:tc>
        <w:tc>
          <w:tcPr>
            <w:tcW w:w="438" w:type="pct"/>
            <w:tcBorders>
              <w:tl2br w:val="nil"/>
              <w:tr2bl w:val="nil"/>
            </w:tcBorders>
            <w:shd w:val="clear" w:color="000000" w:fill="FFFFFF"/>
            <w:noWrap/>
            <w:vAlign w:val="center"/>
          </w:tcPr>
          <w:p w14:paraId="1EB4C53D">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951.12</w:t>
            </w:r>
          </w:p>
        </w:tc>
        <w:tc>
          <w:tcPr>
            <w:tcW w:w="356" w:type="pct"/>
            <w:tcBorders>
              <w:tl2br w:val="nil"/>
              <w:tr2bl w:val="nil"/>
            </w:tcBorders>
            <w:shd w:val="clear" w:color="000000" w:fill="FFFFFF"/>
            <w:noWrap/>
            <w:vAlign w:val="center"/>
          </w:tcPr>
          <w:p w14:paraId="23281B50">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17.16</w:t>
            </w:r>
          </w:p>
        </w:tc>
        <w:tc>
          <w:tcPr>
            <w:tcW w:w="460" w:type="pct"/>
            <w:tcBorders>
              <w:tl2br w:val="nil"/>
              <w:tr2bl w:val="nil"/>
            </w:tcBorders>
            <w:shd w:val="clear" w:color="000000" w:fill="FFFFFF"/>
            <w:noWrap/>
            <w:vAlign w:val="center"/>
          </w:tcPr>
          <w:p w14:paraId="4CA68537">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81.67 </w:t>
            </w:r>
          </w:p>
        </w:tc>
      </w:tr>
      <w:tr w14:paraId="79F21B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14:paraId="1651C21B">
            <w:pPr>
              <w:widowControl/>
              <w:jc w:val="left"/>
              <w:rPr>
                <w:rFonts w:hint="default" w:ascii="Times New Roman" w:hAnsi="Times New Roman" w:eastAsia="宋体" w:cs="Times New Roman"/>
                <w:color w:val="auto"/>
                <w:kern w:val="0"/>
                <w:sz w:val="21"/>
                <w:szCs w:val="21"/>
              </w:rPr>
            </w:pPr>
          </w:p>
        </w:tc>
        <w:tc>
          <w:tcPr>
            <w:tcW w:w="869" w:type="pct"/>
            <w:tcBorders>
              <w:tl2br w:val="nil"/>
              <w:tr2bl w:val="nil"/>
            </w:tcBorders>
            <w:shd w:val="clear" w:color="auto" w:fill="auto"/>
            <w:noWrap/>
            <w:vAlign w:val="center"/>
          </w:tcPr>
          <w:p w14:paraId="0827C0C0">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赤水河綦江水系</w:t>
            </w:r>
          </w:p>
        </w:tc>
        <w:tc>
          <w:tcPr>
            <w:tcW w:w="505" w:type="pct"/>
            <w:tcBorders>
              <w:tl2br w:val="nil"/>
              <w:tr2bl w:val="nil"/>
            </w:tcBorders>
            <w:shd w:val="clear" w:color="auto" w:fill="auto"/>
            <w:noWrap/>
            <w:vAlign w:val="center"/>
          </w:tcPr>
          <w:p w14:paraId="6867E6DB">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3375.19</w:t>
            </w:r>
          </w:p>
        </w:tc>
        <w:tc>
          <w:tcPr>
            <w:tcW w:w="393" w:type="pct"/>
            <w:tcBorders>
              <w:tl2br w:val="nil"/>
              <w:tr2bl w:val="nil"/>
            </w:tcBorders>
            <w:shd w:val="clear" w:color="000000" w:fill="FFFFFF"/>
            <w:noWrap/>
            <w:vAlign w:val="center"/>
          </w:tcPr>
          <w:p w14:paraId="7AF60682">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24.45</w:t>
            </w:r>
          </w:p>
        </w:tc>
        <w:tc>
          <w:tcPr>
            <w:tcW w:w="490" w:type="pct"/>
            <w:tcBorders>
              <w:tl2br w:val="nil"/>
              <w:tr2bl w:val="nil"/>
            </w:tcBorders>
            <w:shd w:val="clear" w:color="auto" w:fill="auto"/>
            <w:noWrap/>
            <w:vAlign w:val="center"/>
          </w:tcPr>
          <w:p w14:paraId="39D8D7B6">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1856.99</w:t>
            </w:r>
          </w:p>
        </w:tc>
        <w:tc>
          <w:tcPr>
            <w:tcW w:w="326" w:type="pct"/>
            <w:tcBorders>
              <w:tl2br w:val="nil"/>
              <w:tr2bl w:val="nil"/>
            </w:tcBorders>
            <w:shd w:val="clear" w:color="auto" w:fill="auto"/>
            <w:noWrap/>
            <w:vAlign w:val="center"/>
          </w:tcPr>
          <w:p w14:paraId="797108C2">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55.02</w:t>
            </w:r>
          </w:p>
        </w:tc>
        <w:tc>
          <w:tcPr>
            <w:tcW w:w="430" w:type="pct"/>
            <w:tcBorders>
              <w:tl2br w:val="nil"/>
              <w:tr2bl w:val="nil"/>
            </w:tcBorders>
            <w:shd w:val="clear" w:color="auto" w:fill="auto"/>
            <w:noWrap/>
            <w:vAlign w:val="center"/>
          </w:tcPr>
          <w:p w14:paraId="4ED3A202">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631.43</w:t>
            </w:r>
          </w:p>
        </w:tc>
        <w:tc>
          <w:tcPr>
            <w:tcW w:w="349" w:type="pct"/>
            <w:tcBorders>
              <w:tl2br w:val="nil"/>
              <w:tr2bl w:val="nil"/>
            </w:tcBorders>
            <w:shd w:val="clear" w:color="auto" w:fill="auto"/>
            <w:noWrap/>
            <w:vAlign w:val="center"/>
          </w:tcPr>
          <w:p w14:paraId="14225F60">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18.71</w:t>
            </w:r>
          </w:p>
        </w:tc>
        <w:tc>
          <w:tcPr>
            <w:tcW w:w="438" w:type="pct"/>
            <w:tcBorders>
              <w:tl2br w:val="nil"/>
              <w:tr2bl w:val="nil"/>
            </w:tcBorders>
            <w:shd w:val="clear" w:color="auto" w:fill="auto"/>
            <w:noWrap/>
            <w:vAlign w:val="center"/>
          </w:tcPr>
          <w:p w14:paraId="5986EFFF">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886.77</w:t>
            </w:r>
          </w:p>
        </w:tc>
        <w:tc>
          <w:tcPr>
            <w:tcW w:w="356" w:type="pct"/>
            <w:tcBorders>
              <w:tl2br w:val="nil"/>
              <w:tr2bl w:val="nil"/>
            </w:tcBorders>
            <w:shd w:val="clear" w:color="auto" w:fill="auto"/>
            <w:noWrap/>
            <w:vAlign w:val="center"/>
          </w:tcPr>
          <w:p w14:paraId="1CAAEA18">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26.27</w:t>
            </w:r>
          </w:p>
        </w:tc>
        <w:tc>
          <w:tcPr>
            <w:tcW w:w="460" w:type="pct"/>
            <w:tcBorders>
              <w:tl2br w:val="nil"/>
              <w:tr2bl w:val="nil"/>
            </w:tcBorders>
            <w:shd w:val="clear" w:color="000000" w:fill="FFFFFF"/>
            <w:noWrap/>
            <w:vAlign w:val="center"/>
          </w:tcPr>
          <w:p w14:paraId="5EFF6621">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75.55 </w:t>
            </w:r>
          </w:p>
        </w:tc>
      </w:tr>
      <w:tr w14:paraId="388527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14:paraId="4F9F7C6A">
            <w:pPr>
              <w:widowControl/>
              <w:jc w:val="left"/>
              <w:rPr>
                <w:rFonts w:hint="default" w:ascii="Times New Roman" w:hAnsi="Times New Roman" w:eastAsia="宋体" w:cs="Times New Roman"/>
                <w:color w:val="auto"/>
                <w:kern w:val="0"/>
                <w:sz w:val="21"/>
                <w:szCs w:val="21"/>
              </w:rPr>
            </w:pPr>
          </w:p>
        </w:tc>
        <w:tc>
          <w:tcPr>
            <w:tcW w:w="869" w:type="pct"/>
            <w:tcBorders>
              <w:tl2br w:val="nil"/>
              <w:tr2bl w:val="nil"/>
            </w:tcBorders>
            <w:shd w:val="clear" w:color="auto" w:fill="auto"/>
            <w:noWrap/>
            <w:vAlign w:val="center"/>
          </w:tcPr>
          <w:p w14:paraId="495AE583">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牛栏江横江水系</w:t>
            </w:r>
          </w:p>
        </w:tc>
        <w:tc>
          <w:tcPr>
            <w:tcW w:w="505" w:type="pct"/>
            <w:tcBorders>
              <w:tl2br w:val="nil"/>
              <w:tr2bl w:val="nil"/>
            </w:tcBorders>
            <w:shd w:val="clear" w:color="000000" w:fill="FFFFFF"/>
            <w:noWrap/>
            <w:vAlign w:val="center"/>
          </w:tcPr>
          <w:p w14:paraId="58EA5226">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1953.67</w:t>
            </w:r>
          </w:p>
        </w:tc>
        <w:tc>
          <w:tcPr>
            <w:tcW w:w="393" w:type="pct"/>
            <w:tcBorders>
              <w:tl2br w:val="nil"/>
              <w:tr2bl w:val="nil"/>
            </w:tcBorders>
            <w:shd w:val="clear" w:color="000000" w:fill="FFFFFF"/>
            <w:noWrap/>
            <w:vAlign w:val="center"/>
          </w:tcPr>
          <w:p w14:paraId="461FE952">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39.97</w:t>
            </w:r>
          </w:p>
        </w:tc>
        <w:tc>
          <w:tcPr>
            <w:tcW w:w="490" w:type="pct"/>
            <w:tcBorders>
              <w:tl2br w:val="nil"/>
              <w:tr2bl w:val="nil"/>
            </w:tcBorders>
            <w:shd w:val="clear" w:color="000000" w:fill="FFFFFF"/>
            <w:noWrap/>
            <w:vAlign w:val="center"/>
          </w:tcPr>
          <w:p w14:paraId="44990C2A">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1516.40 </w:t>
            </w:r>
          </w:p>
        </w:tc>
        <w:tc>
          <w:tcPr>
            <w:tcW w:w="326" w:type="pct"/>
            <w:tcBorders>
              <w:tl2br w:val="nil"/>
              <w:tr2bl w:val="nil"/>
            </w:tcBorders>
            <w:shd w:val="clear" w:color="000000" w:fill="FFFFFF"/>
            <w:noWrap/>
            <w:vAlign w:val="center"/>
          </w:tcPr>
          <w:p w14:paraId="020BC7F9">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77.62</w:t>
            </w:r>
          </w:p>
        </w:tc>
        <w:tc>
          <w:tcPr>
            <w:tcW w:w="430" w:type="pct"/>
            <w:tcBorders>
              <w:tl2br w:val="nil"/>
              <w:tr2bl w:val="nil"/>
            </w:tcBorders>
            <w:shd w:val="clear" w:color="000000" w:fill="FFFFFF"/>
            <w:noWrap/>
            <w:vAlign w:val="center"/>
          </w:tcPr>
          <w:p w14:paraId="25CB6DB4">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296.28</w:t>
            </w:r>
          </w:p>
        </w:tc>
        <w:tc>
          <w:tcPr>
            <w:tcW w:w="349" w:type="pct"/>
            <w:tcBorders>
              <w:tl2br w:val="nil"/>
              <w:tr2bl w:val="nil"/>
            </w:tcBorders>
            <w:shd w:val="clear" w:color="000000" w:fill="FFFFFF"/>
            <w:noWrap/>
            <w:vAlign w:val="center"/>
          </w:tcPr>
          <w:p w14:paraId="2B298D59">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15.17</w:t>
            </w:r>
          </w:p>
        </w:tc>
        <w:tc>
          <w:tcPr>
            <w:tcW w:w="438" w:type="pct"/>
            <w:tcBorders>
              <w:tl2br w:val="nil"/>
              <w:tr2bl w:val="nil"/>
            </w:tcBorders>
            <w:shd w:val="clear" w:color="000000" w:fill="FFFFFF"/>
            <w:noWrap/>
            <w:vAlign w:val="center"/>
          </w:tcPr>
          <w:p w14:paraId="74CE519C">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140.99</w:t>
            </w:r>
          </w:p>
        </w:tc>
        <w:tc>
          <w:tcPr>
            <w:tcW w:w="356" w:type="pct"/>
            <w:tcBorders>
              <w:tl2br w:val="nil"/>
              <w:tr2bl w:val="nil"/>
            </w:tcBorders>
            <w:shd w:val="clear" w:color="000000" w:fill="FFFFFF"/>
            <w:noWrap/>
            <w:vAlign w:val="center"/>
          </w:tcPr>
          <w:p w14:paraId="10040DC0">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7.22</w:t>
            </w:r>
          </w:p>
        </w:tc>
        <w:tc>
          <w:tcPr>
            <w:tcW w:w="460" w:type="pct"/>
            <w:tcBorders>
              <w:tl2br w:val="nil"/>
              <w:tr2bl w:val="nil"/>
            </w:tcBorders>
            <w:shd w:val="clear" w:color="000000" w:fill="FFFFFF"/>
            <w:noWrap/>
            <w:vAlign w:val="center"/>
          </w:tcPr>
          <w:p w14:paraId="4E42672D">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60.03 </w:t>
            </w:r>
          </w:p>
        </w:tc>
      </w:tr>
      <w:tr w14:paraId="314A72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restart"/>
            <w:tcBorders>
              <w:tl2br w:val="nil"/>
              <w:tr2bl w:val="nil"/>
            </w:tcBorders>
            <w:shd w:val="clear" w:color="auto" w:fill="auto"/>
            <w:noWrap/>
            <w:vAlign w:val="center"/>
          </w:tcPr>
          <w:p w14:paraId="5AEC80B1">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珠江流域</w:t>
            </w:r>
          </w:p>
        </w:tc>
        <w:tc>
          <w:tcPr>
            <w:tcW w:w="869" w:type="pct"/>
            <w:tcBorders>
              <w:tl2br w:val="nil"/>
              <w:tr2bl w:val="nil"/>
            </w:tcBorders>
            <w:shd w:val="clear" w:color="auto" w:fill="auto"/>
            <w:noWrap/>
            <w:vAlign w:val="center"/>
          </w:tcPr>
          <w:p w14:paraId="61A083AD">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北盘江水系</w:t>
            </w:r>
          </w:p>
        </w:tc>
        <w:tc>
          <w:tcPr>
            <w:tcW w:w="505" w:type="pct"/>
            <w:tcBorders>
              <w:tl2br w:val="nil"/>
              <w:tr2bl w:val="nil"/>
            </w:tcBorders>
            <w:shd w:val="clear" w:color="000000" w:fill="FFFFFF"/>
            <w:noWrap/>
            <w:vAlign w:val="center"/>
          </w:tcPr>
          <w:p w14:paraId="1DE888FF">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6963.60 </w:t>
            </w:r>
          </w:p>
        </w:tc>
        <w:tc>
          <w:tcPr>
            <w:tcW w:w="393" w:type="pct"/>
            <w:tcBorders>
              <w:tl2br w:val="nil"/>
              <w:tr2bl w:val="nil"/>
            </w:tcBorders>
            <w:shd w:val="clear" w:color="000000" w:fill="FFFFFF"/>
            <w:noWrap/>
            <w:vAlign w:val="center"/>
          </w:tcPr>
          <w:p w14:paraId="7A309686">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33.19 </w:t>
            </w:r>
          </w:p>
        </w:tc>
        <w:tc>
          <w:tcPr>
            <w:tcW w:w="490" w:type="pct"/>
            <w:tcBorders>
              <w:tl2br w:val="nil"/>
              <w:tr2bl w:val="nil"/>
            </w:tcBorders>
            <w:shd w:val="clear" w:color="000000" w:fill="FFFFFF"/>
            <w:noWrap/>
            <w:vAlign w:val="center"/>
          </w:tcPr>
          <w:p w14:paraId="59C0C0E5">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4009.23 </w:t>
            </w:r>
          </w:p>
        </w:tc>
        <w:tc>
          <w:tcPr>
            <w:tcW w:w="326" w:type="pct"/>
            <w:tcBorders>
              <w:tl2br w:val="nil"/>
              <w:tr2bl w:val="nil"/>
            </w:tcBorders>
            <w:shd w:val="clear" w:color="000000" w:fill="FFFFFF"/>
            <w:noWrap/>
            <w:vAlign w:val="center"/>
          </w:tcPr>
          <w:p w14:paraId="2BEFE473">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57.57 </w:t>
            </w:r>
          </w:p>
        </w:tc>
        <w:tc>
          <w:tcPr>
            <w:tcW w:w="430" w:type="pct"/>
            <w:tcBorders>
              <w:tl2br w:val="nil"/>
              <w:tr2bl w:val="nil"/>
            </w:tcBorders>
            <w:shd w:val="clear" w:color="000000" w:fill="FFFFFF"/>
            <w:noWrap/>
            <w:vAlign w:val="center"/>
          </w:tcPr>
          <w:p w14:paraId="49418AEC">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1355.21 </w:t>
            </w:r>
          </w:p>
        </w:tc>
        <w:tc>
          <w:tcPr>
            <w:tcW w:w="349" w:type="pct"/>
            <w:tcBorders>
              <w:tl2br w:val="nil"/>
              <w:tr2bl w:val="nil"/>
            </w:tcBorders>
            <w:shd w:val="clear" w:color="000000" w:fill="FFFFFF"/>
            <w:noWrap/>
            <w:vAlign w:val="center"/>
          </w:tcPr>
          <w:p w14:paraId="3630230F">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19.46 </w:t>
            </w:r>
          </w:p>
        </w:tc>
        <w:tc>
          <w:tcPr>
            <w:tcW w:w="438" w:type="pct"/>
            <w:tcBorders>
              <w:tl2br w:val="nil"/>
              <w:tr2bl w:val="nil"/>
            </w:tcBorders>
            <w:shd w:val="clear" w:color="000000" w:fill="FFFFFF"/>
            <w:noWrap/>
            <w:vAlign w:val="center"/>
          </w:tcPr>
          <w:p w14:paraId="75E48618">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1599.16 </w:t>
            </w:r>
          </w:p>
        </w:tc>
        <w:tc>
          <w:tcPr>
            <w:tcW w:w="356" w:type="pct"/>
            <w:tcBorders>
              <w:tl2br w:val="nil"/>
              <w:tr2bl w:val="nil"/>
            </w:tcBorders>
            <w:shd w:val="clear" w:color="000000" w:fill="FFFFFF"/>
            <w:noWrap/>
            <w:vAlign w:val="center"/>
          </w:tcPr>
          <w:p w14:paraId="50701B41">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22.96 </w:t>
            </w:r>
          </w:p>
        </w:tc>
        <w:tc>
          <w:tcPr>
            <w:tcW w:w="460" w:type="pct"/>
            <w:tcBorders>
              <w:tl2br w:val="nil"/>
              <w:tr2bl w:val="nil"/>
            </w:tcBorders>
            <w:shd w:val="clear" w:color="000000" w:fill="FFFFFF"/>
            <w:noWrap/>
            <w:vAlign w:val="center"/>
          </w:tcPr>
          <w:p w14:paraId="0DE9180F">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66.81 </w:t>
            </w:r>
          </w:p>
        </w:tc>
      </w:tr>
      <w:tr w14:paraId="71FF10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14:paraId="08642CD2">
            <w:pPr>
              <w:widowControl/>
              <w:jc w:val="left"/>
              <w:rPr>
                <w:rFonts w:hint="default" w:ascii="Times New Roman" w:hAnsi="Times New Roman" w:eastAsia="宋体" w:cs="Times New Roman"/>
                <w:color w:val="auto"/>
                <w:kern w:val="0"/>
                <w:sz w:val="21"/>
                <w:szCs w:val="21"/>
              </w:rPr>
            </w:pPr>
          </w:p>
        </w:tc>
        <w:tc>
          <w:tcPr>
            <w:tcW w:w="869" w:type="pct"/>
            <w:tcBorders>
              <w:tl2br w:val="nil"/>
              <w:tr2bl w:val="nil"/>
            </w:tcBorders>
            <w:shd w:val="clear" w:color="auto" w:fill="auto"/>
            <w:noWrap/>
            <w:vAlign w:val="center"/>
          </w:tcPr>
          <w:p w14:paraId="5FC46214">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红水河水系</w:t>
            </w:r>
          </w:p>
        </w:tc>
        <w:tc>
          <w:tcPr>
            <w:tcW w:w="505" w:type="pct"/>
            <w:tcBorders>
              <w:tl2br w:val="nil"/>
              <w:tr2bl w:val="nil"/>
            </w:tcBorders>
            <w:shd w:val="clear" w:color="000000" w:fill="FFFFFF"/>
            <w:noWrap/>
            <w:vAlign w:val="center"/>
          </w:tcPr>
          <w:p w14:paraId="1003771F">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4301.22 </w:t>
            </w:r>
          </w:p>
        </w:tc>
        <w:tc>
          <w:tcPr>
            <w:tcW w:w="393" w:type="pct"/>
            <w:tcBorders>
              <w:tl2br w:val="nil"/>
              <w:tr2bl w:val="nil"/>
            </w:tcBorders>
            <w:shd w:val="clear" w:color="000000" w:fill="FFFFFF"/>
            <w:noWrap/>
            <w:vAlign w:val="center"/>
          </w:tcPr>
          <w:p w14:paraId="69A28786">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26.92 </w:t>
            </w:r>
          </w:p>
        </w:tc>
        <w:tc>
          <w:tcPr>
            <w:tcW w:w="490" w:type="pct"/>
            <w:tcBorders>
              <w:tl2br w:val="nil"/>
              <w:tr2bl w:val="nil"/>
            </w:tcBorders>
            <w:shd w:val="clear" w:color="000000" w:fill="FFFFFF"/>
            <w:noWrap/>
            <w:vAlign w:val="center"/>
          </w:tcPr>
          <w:p w14:paraId="310A0CCD">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3498.17 </w:t>
            </w:r>
          </w:p>
        </w:tc>
        <w:tc>
          <w:tcPr>
            <w:tcW w:w="326" w:type="pct"/>
            <w:tcBorders>
              <w:tl2br w:val="nil"/>
              <w:tr2bl w:val="nil"/>
            </w:tcBorders>
            <w:shd w:val="clear" w:color="000000" w:fill="FFFFFF"/>
            <w:noWrap/>
            <w:vAlign w:val="center"/>
          </w:tcPr>
          <w:p w14:paraId="08B568A6">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81.33 </w:t>
            </w:r>
          </w:p>
        </w:tc>
        <w:tc>
          <w:tcPr>
            <w:tcW w:w="430" w:type="pct"/>
            <w:tcBorders>
              <w:tl2br w:val="nil"/>
              <w:tr2bl w:val="nil"/>
            </w:tcBorders>
            <w:shd w:val="clear" w:color="000000" w:fill="FFFFFF"/>
            <w:noWrap/>
            <w:vAlign w:val="center"/>
          </w:tcPr>
          <w:p w14:paraId="7D1411A9">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391.56 </w:t>
            </w:r>
          </w:p>
        </w:tc>
        <w:tc>
          <w:tcPr>
            <w:tcW w:w="349" w:type="pct"/>
            <w:tcBorders>
              <w:tl2br w:val="nil"/>
              <w:tr2bl w:val="nil"/>
            </w:tcBorders>
            <w:shd w:val="clear" w:color="000000" w:fill="FFFFFF"/>
            <w:noWrap/>
            <w:vAlign w:val="center"/>
          </w:tcPr>
          <w:p w14:paraId="02EF6D61">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9.10 </w:t>
            </w:r>
          </w:p>
        </w:tc>
        <w:tc>
          <w:tcPr>
            <w:tcW w:w="438" w:type="pct"/>
            <w:tcBorders>
              <w:tl2br w:val="nil"/>
              <w:tr2bl w:val="nil"/>
            </w:tcBorders>
            <w:shd w:val="clear" w:color="000000" w:fill="FFFFFF"/>
            <w:noWrap/>
            <w:vAlign w:val="center"/>
          </w:tcPr>
          <w:p w14:paraId="662BC6EE">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411.49 </w:t>
            </w:r>
          </w:p>
        </w:tc>
        <w:tc>
          <w:tcPr>
            <w:tcW w:w="356" w:type="pct"/>
            <w:tcBorders>
              <w:tl2br w:val="nil"/>
              <w:tr2bl w:val="nil"/>
            </w:tcBorders>
            <w:shd w:val="clear" w:color="000000" w:fill="FFFFFF"/>
            <w:noWrap/>
            <w:vAlign w:val="center"/>
          </w:tcPr>
          <w:p w14:paraId="60F6888C">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9.57 </w:t>
            </w:r>
          </w:p>
        </w:tc>
        <w:tc>
          <w:tcPr>
            <w:tcW w:w="460" w:type="pct"/>
            <w:tcBorders>
              <w:tl2br w:val="nil"/>
              <w:tr2bl w:val="nil"/>
            </w:tcBorders>
            <w:shd w:val="clear" w:color="000000" w:fill="FFFFFF"/>
            <w:noWrap/>
            <w:vAlign w:val="center"/>
          </w:tcPr>
          <w:p w14:paraId="60426E03">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73.08 </w:t>
            </w:r>
          </w:p>
        </w:tc>
      </w:tr>
      <w:tr w14:paraId="4F51B9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14:paraId="77709F3A">
            <w:pPr>
              <w:widowControl/>
              <w:jc w:val="left"/>
              <w:rPr>
                <w:rFonts w:hint="default" w:ascii="Times New Roman" w:hAnsi="Times New Roman" w:eastAsia="宋体" w:cs="Times New Roman"/>
                <w:color w:val="auto"/>
                <w:kern w:val="0"/>
                <w:sz w:val="21"/>
                <w:szCs w:val="21"/>
              </w:rPr>
            </w:pPr>
          </w:p>
        </w:tc>
        <w:tc>
          <w:tcPr>
            <w:tcW w:w="869" w:type="pct"/>
            <w:tcBorders>
              <w:tl2br w:val="nil"/>
              <w:tr2bl w:val="nil"/>
            </w:tcBorders>
            <w:shd w:val="clear" w:color="auto" w:fill="auto"/>
            <w:noWrap/>
            <w:vAlign w:val="center"/>
          </w:tcPr>
          <w:p w14:paraId="610D6696">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柳江水系</w:t>
            </w:r>
          </w:p>
        </w:tc>
        <w:tc>
          <w:tcPr>
            <w:tcW w:w="505" w:type="pct"/>
            <w:tcBorders>
              <w:tl2br w:val="nil"/>
              <w:tr2bl w:val="nil"/>
            </w:tcBorders>
            <w:shd w:val="clear" w:color="000000" w:fill="FFFFFF"/>
            <w:noWrap/>
            <w:vAlign w:val="center"/>
          </w:tcPr>
          <w:p w14:paraId="53452D1A">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2336.32 </w:t>
            </w:r>
          </w:p>
        </w:tc>
        <w:tc>
          <w:tcPr>
            <w:tcW w:w="393" w:type="pct"/>
            <w:tcBorders>
              <w:tl2br w:val="nil"/>
              <w:tr2bl w:val="nil"/>
            </w:tcBorders>
            <w:shd w:val="clear" w:color="000000" w:fill="FFFFFF"/>
            <w:noWrap/>
            <w:vAlign w:val="center"/>
          </w:tcPr>
          <w:p w14:paraId="7F538A75">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14.78 </w:t>
            </w:r>
          </w:p>
        </w:tc>
        <w:tc>
          <w:tcPr>
            <w:tcW w:w="490" w:type="pct"/>
            <w:tcBorders>
              <w:tl2br w:val="nil"/>
              <w:tr2bl w:val="nil"/>
            </w:tcBorders>
            <w:shd w:val="clear" w:color="000000" w:fill="FFFFFF"/>
            <w:noWrap/>
            <w:vAlign w:val="center"/>
          </w:tcPr>
          <w:p w14:paraId="20965E3B">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1916.00 </w:t>
            </w:r>
          </w:p>
        </w:tc>
        <w:tc>
          <w:tcPr>
            <w:tcW w:w="326" w:type="pct"/>
            <w:tcBorders>
              <w:tl2br w:val="nil"/>
              <w:tr2bl w:val="nil"/>
            </w:tcBorders>
            <w:shd w:val="clear" w:color="000000" w:fill="FFFFFF"/>
            <w:noWrap/>
            <w:vAlign w:val="center"/>
          </w:tcPr>
          <w:p w14:paraId="0224D350">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82.01 </w:t>
            </w:r>
          </w:p>
        </w:tc>
        <w:tc>
          <w:tcPr>
            <w:tcW w:w="430" w:type="pct"/>
            <w:tcBorders>
              <w:tl2br w:val="nil"/>
              <w:tr2bl w:val="nil"/>
            </w:tcBorders>
            <w:shd w:val="clear" w:color="000000" w:fill="FFFFFF"/>
            <w:noWrap/>
            <w:vAlign w:val="center"/>
          </w:tcPr>
          <w:p w14:paraId="2A03AB6C">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221.05 </w:t>
            </w:r>
          </w:p>
        </w:tc>
        <w:tc>
          <w:tcPr>
            <w:tcW w:w="349" w:type="pct"/>
            <w:tcBorders>
              <w:tl2br w:val="nil"/>
              <w:tr2bl w:val="nil"/>
            </w:tcBorders>
            <w:shd w:val="clear" w:color="000000" w:fill="FFFFFF"/>
            <w:noWrap/>
            <w:vAlign w:val="center"/>
          </w:tcPr>
          <w:p w14:paraId="5560B14F">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9.46 </w:t>
            </w:r>
          </w:p>
        </w:tc>
        <w:tc>
          <w:tcPr>
            <w:tcW w:w="438" w:type="pct"/>
            <w:tcBorders>
              <w:tl2br w:val="nil"/>
              <w:tr2bl w:val="nil"/>
            </w:tcBorders>
            <w:shd w:val="clear" w:color="000000" w:fill="FFFFFF"/>
            <w:noWrap/>
            <w:vAlign w:val="center"/>
          </w:tcPr>
          <w:p w14:paraId="22E1120F">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199.27 </w:t>
            </w:r>
          </w:p>
        </w:tc>
        <w:tc>
          <w:tcPr>
            <w:tcW w:w="356" w:type="pct"/>
            <w:tcBorders>
              <w:tl2br w:val="nil"/>
              <w:tr2bl w:val="nil"/>
            </w:tcBorders>
            <w:shd w:val="clear" w:color="000000" w:fill="FFFFFF"/>
            <w:noWrap/>
            <w:vAlign w:val="center"/>
          </w:tcPr>
          <w:p w14:paraId="057B6C5F">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8.63 </w:t>
            </w:r>
          </w:p>
        </w:tc>
        <w:tc>
          <w:tcPr>
            <w:tcW w:w="460" w:type="pct"/>
            <w:tcBorders>
              <w:tl2br w:val="nil"/>
              <w:tr2bl w:val="nil"/>
            </w:tcBorders>
            <w:shd w:val="clear" w:color="000000" w:fill="FFFFFF"/>
            <w:noWrap/>
            <w:vAlign w:val="center"/>
          </w:tcPr>
          <w:p w14:paraId="59514840">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85.22 </w:t>
            </w:r>
          </w:p>
        </w:tc>
      </w:tr>
      <w:tr w14:paraId="246869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8" w:type="pct"/>
            <w:vMerge w:val="continue"/>
            <w:tcBorders>
              <w:tl2br w:val="nil"/>
              <w:tr2bl w:val="nil"/>
            </w:tcBorders>
            <w:vAlign w:val="center"/>
          </w:tcPr>
          <w:p w14:paraId="763B6671">
            <w:pPr>
              <w:widowControl/>
              <w:jc w:val="left"/>
              <w:rPr>
                <w:rFonts w:hint="default" w:ascii="Times New Roman" w:hAnsi="Times New Roman" w:eastAsia="宋体" w:cs="Times New Roman"/>
                <w:color w:val="auto"/>
                <w:kern w:val="0"/>
                <w:sz w:val="21"/>
                <w:szCs w:val="21"/>
              </w:rPr>
            </w:pPr>
          </w:p>
        </w:tc>
        <w:tc>
          <w:tcPr>
            <w:tcW w:w="869" w:type="pct"/>
            <w:tcBorders>
              <w:tl2br w:val="nil"/>
              <w:tr2bl w:val="nil"/>
            </w:tcBorders>
            <w:shd w:val="clear" w:color="auto" w:fill="auto"/>
            <w:noWrap/>
            <w:vAlign w:val="center"/>
          </w:tcPr>
          <w:p w14:paraId="65B2FB4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南盘江水系</w:t>
            </w:r>
          </w:p>
        </w:tc>
        <w:tc>
          <w:tcPr>
            <w:tcW w:w="505" w:type="pct"/>
            <w:tcBorders>
              <w:tl2br w:val="nil"/>
              <w:tr2bl w:val="nil"/>
            </w:tcBorders>
            <w:shd w:val="clear" w:color="000000" w:fill="FFFFFF"/>
            <w:noWrap/>
            <w:vAlign w:val="center"/>
          </w:tcPr>
          <w:p w14:paraId="197670B4">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2108.74 </w:t>
            </w:r>
          </w:p>
        </w:tc>
        <w:tc>
          <w:tcPr>
            <w:tcW w:w="393" w:type="pct"/>
            <w:tcBorders>
              <w:tl2br w:val="nil"/>
              <w:tr2bl w:val="nil"/>
            </w:tcBorders>
            <w:shd w:val="clear" w:color="000000" w:fill="FFFFFF"/>
            <w:noWrap/>
            <w:vAlign w:val="center"/>
          </w:tcPr>
          <w:p w14:paraId="6F6C536B">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27.56 </w:t>
            </w:r>
          </w:p>
        </w:tc>
        <w:tc>
          <w:tcPr>
            <w:tcW w:w="490" w:type="pct"/>
            <w:tcBorders>
              <w:tl2br w:val="nil"/>
              <w:tr2bl w:val="nil"/>
            </w:tcBorders>
            <w:shd w:val="clear" w:color="000000" w:fill="FFFFFF"/>
            <w:noWrap/>
            <w:vAlign w:val="center"/>
          </w:tcPr>
          <w:p w14:paraId="56016D1B">
            <w:pPr>
              <w:widowControl/>
              <w:adjustRightInd w:val="0"/>
              <w:spacing w:before="65505" w:beforeLines="-10" w:beforeAutospacing="1"/>
              <w:ind w:left="-42" w:leftChars="-2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1269.80 </w:t>
            </w:r>
          </w:p>
        </w:tc>
        <w:tc>
          <w:tcPr>
            <w:tcW w:w="326" w:type="pct"/>
            <w:tcBorders>
              <w:tl2br w:val="nil"/>
              <w:tr2bl w:val="nil"/>
            </w:tcBorders>
            <w:shd w:val="clear" w:color="000000" w:fill="FFFFFF"/>
            <w:noWrap/>
            <w:vAlign w:val="center"/>
          </w:tcPr>
          <w:p w14:paraId="15ECD30E">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60.22 </w:t>
            </w:r>
          </w:p>
        </w:tc>
        <w:tc>
          <w:tcPr>
            <w:tcW w:w="430" w:type="pct"/>
            <w:tcBorders>
              <w:tl2br w:val="nil"/>
              <w:tr2bl w:val="nil"/>
            </w:tcBorders>
            <w:shd w:val="clear" w:color="000000" w:fill="FFFFFF"/>
            <w:noWrap/>
            <w:vAlign w:val="center"/>
          </w:tcPr>
          <w:p w14:paraId="6B273753">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369.97 </w:t>
            </w:r>
          </w:p>
        </w:tc>
        <w:tc>
          <w:tcPr>
            <w:tcW w:w="349" w:type="pct"/>
            <w:tcBorders>
              <w:tl2br w:val="nil"/>
              <w:tr2bl w:val="nil"/>
            </w:tcBorders>
            <w:shd w:val="clear" w:color="000000" w:fill="FFFFFF"/>
            <w:noWrap/>
            <w:vAlign w:val="center"/>
          </w:tcPr>
          <w:p w14:paraId="6587B464">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17.54 </w:t>
            </w:r>
          </w:p>
        </w:tc>
        <w:tc>
          <w:tcPr>
            <w:tcW w:w="438" w:type="pct"/>
            <w:tcBorders>
              <w:tl2br w:val="nil"/>
              <w:tr2bl w:val="nil"/>
            </w:tcBorders>
            <w:shd w:val="clear" w:color="000000" w:fill="FFFFFF"/>
            <w:noWrap/>
            <w:vAlign w:val="center"/>
          </w:tcPr>
          <w:p w14:paraId="11D1BDA4">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468.97 </w:t>
            </w:r>
          </w:p>
        </w:tc>
        <w:tc>
          <w:tcPr>
            <w:tcW w:w="356" w:type="pct"/>
            <w:tcBorders>
              <w:tl2br w:val="nil"/>
              <w:tr2bl w:val="nil"/>
            </w:tcBorders>
            <w:shd w:val="clear" w:color="000000" w:fill="FFFFFF"/>
            <w:noWrap/>
            <w:vAlign w:val="center"/>
          </w:tcPr>
          <w:p w14:paraId="1A0E35BA">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22.24 </w:t>
            </w:r>
          </w:p>
        </w:tc>
        <w:tc>
          <w:tcPr>
            <w:tcW w:w="460" w:type="pct"/>
            <w:tcBorders>
              <w:tl2br w:val="nil"/>
              <w:tr2bl w:val="nil"/>
            </w:tcBorders>
            <w:shd w:val="clear" w:color="000000" w:fill="FFFFFF"/>
            <w:noWrap/>
            <w:vAlign w:val="center"/>
          </w:tcPr>
          <w:p w14:paraId="1A2B97DA">
            <w:pPr>
              <w:widowControl/>
              <w:adjustRightInd w:val="0"/>
              <w:ind w:left="-42" w:leftChars="-2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72.44 </w:t>
            </w:r>
          </w:p>
        </w:tc>
      </w:tr>
    </w:tbl>
    <w:p w14:paraId="468EF79E">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36" w:name="_Toc11691"/>
      <w:r>
        <w:rPr>
          <w:rFonts w:hint="eastAsia" w:ascii="楷体_GB2312" w:hAnsi="楷体_GB2312" w:eastAsia="楷体_GB2312" w:cs="楷体_GB2312"/>
          <w:b/>
          <w:bCs w:val="0"/>
          <w:snapToGrid w:val="0"/>
          <w:color w:val="auto"/>
          <w:kern w:val="2"/>
          <w:sz w:val="30"/>
          <w:szCs w:val="30"/>
          <w:lang w:val="en-US" w:eastAsia="zh-CN" w:bidi="ar-SA"/>
        </w:rPr>
        <w:t>（二）水土流失类型及分布</w:t>
      </w:r>
      <w:bookmarkEnd w:id="36"/>
    </w:p>
    <w:p w14:paraId="6C4A743B">
      <w:pPr>
        <w:spacing w:line="360" w:lineRule="auto"/>
        <w:ind w:firstLine="560"/>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rPr>
        <w:t>全省土壤侵蚀类型以水力侵蚀为主，局部区域存在重力侵蚀、风力侵蚀、冻融侵蚀及混合侵蚀。水土流失主要发生在坡耕地、荒山荒坡、低覆盖林地等地类和生产建设活动集中区</w:t>
      </w:r>
      <w:r>
        <w:rPr>
          <w:rFonts w:hint="default" w:ascii="Times New Roman" w:hAnsi="Times New Roman" w:cs="Times New Roman"/>
          <w:color w:val="auto"/>
          <w:sz w:val="28"/>
          <w:szCs w:val="28"/>
          <w:lang w:eastAsia="zh-CN"/>
        </w:rPr>
        <w:t>。</w:t>
      </w:r>
    </w:p>
    <w:p w14:paraId="594C0B3E">
      <w:pPr>
        <w:spacing w:line="360" w:lineRule="auto"/>
        <w:ind w:firstLine="56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从</w:t>
      </w:r>
      <w:r>
        <w:rPr>
          <w:rFonts w:hint="default" w:ascii="Times New Roman" w:hAnsi="Times New Roman" w:cs="Times New Roman"/>
          <w:color w:val="auto"/>
          <w:sz w:val="28"/>
          <w:szCs w:val="28"/>
        </w:rPr>
        <w:t>空间分布</w:t>
      </w:r>
      <w:r>
        <w:rPr>
          <w:rFonts w:hint="default" w:ascii="Times New Roman" w:hAnsi="Times New Roman" w:cs="Times New Roman"/>
          <w:color w:val="auto"/>
          <w:sz w:val="28"/>
          <w:szCs w:val="28"/>
          <w:lang w:val="en-US" w:eastAsia="zh-CN"/>
        </w:rPr>
        <w:t>看，水土流失强度</w:t>
      </w:r>
      <w:r>
        <w:rPr>
          <w:rFonts w:hint="default" w:ascii="Times New Roman" w:hAnsi="Times New Roman" w:cs="Times New Roman"/>
          <w:color w:val="auto"/>
          <w:sz w:val="28"/>
          <w:szCs w:val="28"/>
        </w:rPr>
        <w:t>由西北至东南逐渐减轻；西部、西北部及东北部水土流失最严重，强烈等级以上的水土流失主要分布在这一区域；西南部、中部、东部地区次之；南部、东南部地区主要为轻度流失。</w:t>
      </w:r>
    </w:p>
    <w:p w14:paraId="3CDDB7F0">
      <w:pPr>
        <w:spacing w:line="360" w:lineRule="auto"/>
        <w:ind w:firstLine="560"/>
        <w:rPr>
          <w:rFonts w:hint="default"/>
          <w:color w:val="auto"/>
          <w:lang w:val="en-US" w:eastAsia="zh-CN"/>
        </w:rPr>
      </w:pPr>
      <w:r>
        <w:rPr>
          <w:rFonts w:hint="default" w:ascii="Times New Roman" w:hAnsi="Times New Roman" w:cs="Times New Roman"/>
          <w:color w:val="auto"/>
          <w:sz w:val="28"/>
          <w:szCs w:val="28"/>
        </w:rPr>
        <w:t>从市级行政区域看，毕节市、</w:t>
      </w:r>
      <w:r>
        <w:rPr>
          <w:rFonts w:hint="default" w:ascii="Times New Roman" w:hAnsi="Times New Roman" w:cs="Times New Roman"/>
          <w:color w:val="auto"/>
          <w:sz w:val="28"/>
          <w:szCs w:val="28"/>
          <w:lang w:val="en-US" w:eastAsia="zh-CN"/>
        </w:rPr>
        <w:t>六盘水</w:t>
      </w:r>
      <w:r>
        <w:rPr>
          <w:rFonts w:hint="default" w:ascii="Times New Roman" w:hAnsi="Times New Roman" w:cs="Times New Roman"/>
          <w:color w:val="auto"/>
          <w:sz w:val="28"/>
          <w:szCs w:val="28"/>
        </w:rPr>
        <w:t>、铜仁市</w:t>
      </w:r>
      <w:r>
        <w:rPr>
          <w:rFonts w:hint="default" w:ascii="Times New Roman" w:hAnsi="Times New Roman" w:cs="Times New Roman"/>
          <w:color w:val="auto"/>
          <w:sz w:val="28"/>
          <w:szCs w:val="28"/>
          <w:lang w:val="en-US" w:eastAsia="zh-CN"/>
        </w:rPr>
        <w:t>水土保持率较低</w:t>
      </w:r>
      <w:r>
        <w:rPr>
          <w:rFonts w:hint="default" w:ascii="Times New Roman" w:hAnsi="Times New Roman" w:cs="Times New Roman"/>
          <w:color w:val="auto"/>
          <w:sz w:val="28"/>
          <w:szCs w:val="28"/>
        </w:rPr>
        <w:t>，水土流失较为严重，黔东南州</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黔南、贵阳市水土保持率较高</w:t>
      </w:r>
      <w:r>
        <w:rPr>
          <w:rFonts w:hint="default" w:ascii="Times New Roman" w:hAnsi="Times New Roman" w:cs="Times New Roman"/>
          <w:color w:val="auto"/>
          <w:sz w:val="28"/>
          <w:szCs w:val="28"/>
        </w:rPr>
        <w:t>，水土流失较轻。</w:t>
      </w:r>
      <w:r>
        <w:rPr>
          <w:rFonts w:hint="default" w:ascii="Times New Roman" w:hAnsi="Times New Roman" w:cs="Times New Roman"/>
          <w:color w:val="auto"/>
          <w:sz w:val="28"/>
          <w:szCs w:val="28"/>
          <w:lang w:val="en-US" w:eastAsia="zh-CN"/>
        </w:rPr>
        <w:t>从流域水系看，沅江水系和柳江水系水土保持率较高，牛栏江横江水系水土保持率较低，需加强治理和保护。</w:t>
      </w:r>
    </w:p>
    <w:p w14:paraId="607584FC">
      <w:pPr>
        <w:pStyle w:val="2"/>
        <w:rPr>
          <w:rFonts w:hint="default" w:ascii="Times New Roman" w:hAnsi="Times New Roman" w:cs="Times New Roman"/>
          <w:color w:val="auto"/>
          <w:sz w:val="28"/>
          <w:szCs w:val="28"/>
          <w:lang w:val="en-US" w:eastAsia="zh-CN"/>
        </w:rPr>
        <w:sectPr>
          <w:headerReference r:id="rId7" w:type="default"/>
          <w:footerReference r:id="rId8" w:type="default"/>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100CF73">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37" w:name="_Toc9955"/>
      <w:bookmarkStart w:id="38" w:name="_Toc3245"/>
      <w:r>
        <w:rPr>
          <w:rFonts w:hint="default" w:ascii="方正小标宋_GBK" w:hAnsi="Times New Roman" w:eastAsia="方正小标宋_GBK" w:cs="Times New Roman"/>
          <w:b/>
          <w:bCs w:val="0"/>
          <w:color w:val="auto"/>
          <w:kern w:val="44"/>
          <w:sz w:val="36"/>
          <w:szCs w:val="36"/>
          <w:lang w:val="en-US" w:eastAsia="zh-CN" w:bidi="ar-SA"/>
        </w:rPr>
        <w:t>第二章 现状评价及需求分析</w:t>
      </w:r>
      <w:bookmarkEnd w:id="37"/>
      <w:bookmarkEnd w:id="38"/>
    </w:p>
    <w:p w14:paraId="516AEDDF">
      <w:pPr>
        <w:pStyle w:val="7"/>
        <w:bidi w:val="0"/>
        <w:rPr>
          <w:rFonts w:hint="default" w:ascii="Times New Roman" w:hAnsi="Times New Roman" w:eastAsia="黑体" w:cs="Times New Roman"/>
          <w:color w:val="auto"/>
          <w:sz w:val="32"/>
          <w:szCs w:val="32"/>
          <w:lang w:val="en-US" w:eastAsia="zh-CN"/>
        </w:rPr>
      </w:pPr>
      <w:bookmarkStart w:id="39" w:name="_Toc29264"/>
      <w:bookmarkStart w:id="40" w:name="_Toc16573"/>
      <w:r>
        <w:rPr>
          <w:rFonts w:hint="default" w:ascii="Times New Roman" w:hAnsi="Times New Roman" w:eastAsia="黑体" w:cs="Times New Roman"/>
          <w:color w:val="auto"/>
          <w:sz w:val="32"/>
          <w:szCs w:val="32"/>
          <w:lang w:val="en-US" w:eastAsia="zh-CN"/>
        </w:rPr>
        <w:t>一、“十三五”水土保持成效</w:t>
      </w:r>
      <w:bookmarkEnd w:id="39"/>
      <w:bookmarkEnd w:id="40"/>
    </w:p>
    <w:p w14:paraId="5C3A82EE">
      <w:pPr>
        <w:spacing w:line="360" w:lineRule="auto"/>
        <w:ind w:firstLine="584" w:firstLineChars="200"/>
        <w:rPr>
          <w:rFonts w:hint="default" w:ascii="Times New Roman" w:hAnsi="Times New Roman" w:cs="Times New Roman"/>
          <w:bCs/>
          <w:color w:val="auto"/>
          <w:spacing w:val="6"/>
          <w:kern w:val="0"/>
          <w:sz w:val="28"/>
          <w:szCs w:val="28"/>
          <w:lang w:val="en-US" w:eastAsia="zh-CN"/>
        </w:rPr>
      </w:pPr>
      <w:r>
        <w:rPr>
          <w:rFonts w:hint="default" w:ascii="Times New Roman" w:hAnsi="Times New Roman" w:cs="Times New Roman"/>
          <w:bCs/>
          <w:color w:val="auto"/>
          <w:spacing w:val="6"/>
          <w:kern w:val="0"/>
          <w:sz w:val="28"/>
          <w:szCs w:val="28"/>
          <w:lang w:val="en-US" w:eastAsia="zh-CN"/>
        </w:rPr>
        <w:t>我省水土保持系统深入贯彻落实习近平生态文明思想，认真践行</w:t>
      </w:r>
      <w:r>
        <w:rPr>
          <w:rFonts w:hint="eastAsia" w:ascii="Times New Roman" w:hAnsi="Times New Roman" w:cs="Times New Roman"/>
          <w:bCs/>
          <w:color w:val="auto"/>
          <w:spacing w:val="6"/>
          <w:kern w:val="0"/>
          <w:sz w:val="28"/>
          <w:szCs w:val="28"/>
          <w:lang w:val="en-US" w:eastAsia="zh-CN"/>
        </w:rPr>
        <w:t>十六字治水方针，</w:t>
      </w:r>
      <w:r>
        <w:rPr>
          <w:rFonts w:hint="eastAsia"/>
          <w:color w:val="auto"/>
          <w:sz w:val="28"/>
          <w:szCs w:val="28"/>
          <w:lang w:val="en-US" w:eastAsia="zh-CN"/>
        </w:rPr>
        <w:t>以习近平生态文明思想引领美丽中国建设，</w:t>
      </w:r>
      <w:r>
        <w:rPr>
          <w:rFonts w:hint="default" w:ascii="Times New Roman" w:hAnsi="Times New Roman" w:cs="Times New Roman"/>
          <w:bCs/>
          <w:color w:val="auto"/>
          <w:spacing w:val="6"/>
          <w:kern w:val="0"/>
          <w:sz w:val="28"/>
          <w:szCs w:val="28"/>
          <w:lang w:val="en-US" w:eastAsia="zh-CN"/>
        </w:rPr>
        <w:t>牢固树立“绿水青山就是金山银山”生态发展理念，全力实施大扶贫、大数据、大生态三大战略行动，紧紧围绕乡村振兴战略和十二大特色产业、科学推进水土流失综合治理，持续开展全省水土流失动态监测，主动推进智慧水利先行先试，积极采用水土保持“天地一体化”加强生产建设水土保持监管，继续推进水土保持“放管服”改革，加大对违法违规项目的查处力度，从严审查审批生产建设项目水土保持方案，努力提高服务效率，圆满完成各年度工作任务，水土保持工作成效显著。</w:t>
      </w:r>
    </w:p>
    <w:p w14:paraId="05CA5F01">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41" w:name="_Toc14878"/>
      <w:r>
        <w:rPr>
          <w:rFonts w:hint="eastAsia" w:ascii="楷体_GB2312" w:hAnsi="楷体_GB2312" w:eastAsia="楷体_GB2312" w:cs="楷体_GB2312"/>
          <w:b/>
          <w:bCs w:val="0"/>
          <w:snapToGrid w:val="0"/>
          <w:color w:val="auto"/>
          <w:kern w:val="2"/>
          <w:sz w:val="30"/>
          <w:szCs w:val="30"/>
          <w:lang w:val="en-US" w:eastAsia="zh-CN" w:bidi="ar-SA"/>
        </w:rPr>
        <w:t>（一）法律法规及制度建设</w:t>
      </w:r>
      <w:bookmarkEnd w:id="41"/>
    </w:p>
    <w:p w14:paraId="370971A1">
      <w:pPr>
        <w:spacing w:line="360" w:lineRule="auto"/>
        <w:ind w:firstLine="584" w:firstLineChars="200"/>
        <w:rPr>
          <w:rFonts w:hint="default" w:ascii="Times New Roman" w:hAnsi="Times New Roman" w:cs="Times New Roman"/>
          <w:color w:val="auto"/>
          <w:spacing w:val="6"/>
          <w:kern w:val="0"/>
          <w:sz w:val="28"/>
          <w:szCs w:val="28"/>
        </w:rPr>
      </w:pPr>
      <w:r>
        <w:rPr>
          <w:rFonts w:hint="default" w:ascii="Times New Roman" w:hAnsi="Times New Roman" w:cs="Times New Roman"/>
          <w:bCs/>
          <w:color w:val="auto"/>
          <w:spacing w:val="6"/>
          <w:kern w:val="0"/>
          <w:sz w:val="28"/>
          <w:szCs w:val="28"/>
        </w:rPr>
        <w:t>省人民政府批复</w:t>
      </w:r>
      <w:bookmarkStart w:id="42" w:name="_Toc32881808"/>
      <w:r>
        <w:rPr>
          <w:rFonts w:hint="default" w:ascii="Times New Roman" w:hAnsi="Times New Roman" w:cs="Times New Roman"/>
          <w:bCs/>
          <w:color w:val="auto"/>
          <w:spacing w:val="6"/>
          <w:kern w:val="0"/>
          <w:sz w:val="28"/>
          <w:szCs w:val="28"/>
        </w:rPr>
        <w:t>《贵州省水土保持规划（201</w:t>
      </w:r>
      <w:bookmarkEnd w:id="42"/>
      <w:r>
        <w:rPr>
          <w:rFonts w:hint="default" w:ascii="Times New Roman" w:hAnsi="Times New Roman" w:cs="Times New Roman"/>
          <w:bCs/>
          <w:color w:val="auto"/>
          <w:spacing w:val="6"/>
          <w:kern w:val="0"/>
          <w:sz w:val="28"/>
          <w:szCs w:val="28"/>
        </w:rPr>
        <w:t>6</w:t>
      </w:r>
      <w:bookmarkStart w:id="43" w:name="_Toc32881809"/>
      <w:r>
        <w:rPr>
          <w:rFonts w:hint="default" w:ascii="Times New Roman" w:hAnsi="Times New Roman" w:cs="Times New Roman"/>
          <w:bCs/>
          <w:color w:val="auto"/>
          <w:spacing w:val="6"/>
          <w:kern w:val="0"/>
          <w:sz w:val="28"/>
          <w:szCs w:val="28"/>
        </w:rPr>
        <w:t>-2030年）》，</w:t>
      </w:r>
      <w:bookmarkEnd w:id="43"/>
      <w:r>
        <w:rPr>
          <w:rFonts w:hint="default" w:ascii="Times New Roman" w:hAnsi="Times New Roman" w:cs="Times New Roman"/>
          <w:bCs/>
          <w:color w:val="auto"/>
          <w:spacing w:val="6"/>
          <w:kern w:val="0"/>
          <w:sz w:val="28"/>
          <w:szCs w:val="28"/>
        </w:rPr>
        <w:t>系统总结</w:t>
      </w:r>
      <w:r>
        <w:rPr>
          <w:rFonts w:hint="default" w:ascii="Times New Roman" w:hAnsi="Times New Roman" w:cs="Times New Roman"/>
          <w:bCs/>
          <w:color w:val="auto"/>
          <w:spacing w:val="6"/>
          <w:kern w:val="0"/>
          <w:sz w:val="28"/>
          <w:szCs w:val="28"/>
          <w:lang w:val="en-US" w:eastAsia="zh-CN"/>
        </w:rPr>
        <w:t>了</w:t>
      </w:r>
      <w:r>
        <w:rPr>
          <w:rFonts w:hint="default" w:ascii="Times New Roman" w:hAnsi="Times New Roman" w:cs="Times New Roman"/>
          <w:bCs/>
          <w:color w:val="auto"/>
          <w:spacing w:val="6"/>
          <w:kern w:val="0"/>
          <w:sz w:val="28"/>
          <w:szCs w:val="28"/>
        </w:rPr>
        <w:t>水土保持经验</w:t>
      </w:r>
      <w:r>
        <w:rPr>
          <w:rFonts w:hint="default" w:ascii="Times New Roman" w:hAnsi="Times New Roman" w:cs="Times New Roman"/>
          <w:bCs/>
          <w:color w:val="auto"/>
          <w:spacing w:val="6"/>
          <w:kern w:val="0"/>
          <w:sz w:val="28"/>
          <w:szCs w:val="28"/>
          <w:lang w:eastAsia="zh-CN"/>
        </w:rPr>
        <w:t>、</w:t>
      </w:r>
      <w:r>
        <w:rPr>
          <w:rFonts w:hint="default" w:ascii="Times New Roman" w:hAnsi="Times New Roman" w:cs="Times New Roman"/>
          <w:bCs/>
          <w:color w:val="auto"/>
          <w:spacing w:val="6"/>
          <w:kern w:val="0"/>
          <w:sz w:val="28"/>
          <w:szCs w:val="28"/>
        </w:rPr>
        <w:t>成效及存在的问题，明确今后一段时期水土保持的目标、任务、总体布局和对策措施，加强</w:t>
      </w:r>
      <w:r>
        <w:rPr>
          <w:rFonts w:hint="default" w:ascii="Times New Roman" w:hAnsi="Times New Roman" w:cs="Times New Roman"/>
          <w:bCs/>
          <w:color w:val="auto"/>
          <w:spacing w:val="6"/>
          <w:kern w:val="0"/>
          <w:sz w:val="28"/>
          <w:szCs w:val="28"/>
          <w:lang w:val="en-US" w:eastAsia="zh-CN"/>
        </w:rPr>
        <w:t>了</w:t>
      </w:r>
      <w:r>
        <w:rPr>
          <w:rFonts w:hint="default" w:ascii="Times New Roman" w:hAnsi="Times New Roman" w:cs="Times New Roman"/>
          <w:bCs/>
          <w:color w:val="auto"/>
          <w:spacing w:val="6"/>
          <w:kern w:val="0"/>
          <w:sz w:val="28"/>
          <w:szCs w:val="28"/>
        </w:rPr>
        <w:t>对水土保持工作的顶层设计</w:t>
      </w:r>
      <w:r>
        <w:rPr>
          <w:rFonts w:hint="default" w:ascii="Times New Roman" w:hAnsi="Times New Roman" w:cs="Times New Roman"/>
          <w:bCs/>
          <w:color w:val="auto"/>
          <w:spacing w:val="6"/>
          <w:kern w:val="0"/>
          <w:sz w:val="28"/>
          <w:szCs w:val="28"/>
          <w:lang w:eastAsia="zh-CN"/>
        </w:rPr>
        <w:t>。</w:t>
      </w:r>
      <w:r>
        <w:rPr>
          <w:rFonts w:hint="default" w:ascii="Times New Roman" w:hAnsi="Times New Roman" w:cs="Times New Roman"/>
          <w:color w:val="auto"/>
          <w:spacing w:val="6"/>
          <w:kern w:val="0"/>
          <w:sz w:val="28"/>
          <w:szCs w:val="28"/>
        </w:rPr>
        <w:t>印发</w:t>
      </w:r>
      <w:r>
        <w:rPr>
          <w:rFonts w:hint="default" w:ascii="Times New Roman" w:hAnsi="Times New Roman" w:cs="Times New Roman"/>
          <w:bCs/>
          <w:color w:val="auto"/>
          <w:spacing w:val="6"/>
          <w:kern w:val="0"/>
          <w:sz w:val="28"/>
          <w:szCs w:val="28"/>
        </w:rPr>
        <w:t>《贵州省水土保持目标责任考核办法（试行）》</w:t>
      </w:r>
      <w:r>
        <w:rPr>
          <w:rFonts w:hint="default" w:ascii="Times New Roman" w:hAnsi="Times New Roman" w:cs="Times New Roman"/>
          <w:color w:val="auto"/>
          <w:spacing w:val="6"/>
          <w:kern w:val="0"/>
          <w:sz w:val="28"/>
          <w:szCs w:val="28"/>
        </w:rPr>
        <w:t>，对市（州）级人民政府开展水土保持目标责任考核，强化考核评估结果应用，充分发挥考核评估“指挥棒”作用，进一步压实各级地方政府和相关部门水土保持责任。</w:t>
      </w:r>
    </w:p>
    <w:p w14:paraId="210DA705">
      <w:pPr>
        <w:spacing w:line="360" w:lineRule="auto"/>
        <w:ind w:firstLine="584" w:firstLineChars="200"/>
        <w:rPr>
          <w:rFonts w:hint="default" w:ascii="Times New Roman" w:hAnsi="Times New Roman" w:cs="Times New Roman" w:eastAsiaTheme="minorEastAsia"/>
          <w:bCs/>
          <w:color w:val="auto"/>
          <w:spacing w:val="6"/>
          <w:kern w:val="0"/>
          <w:sz w:val="28"/>
          <w:szCs w:val="28"/>
          <w:lang w:val="en-US" w:eastAsia="zh-CN"/>
        </w:rPr>
      </w:pPr>
      <w:r>
        <w:rPr>
          <w:rFonts w:hint="default" w:ascii="Times New Roman" w:hAnsi="Times New Roman" w:cs="Times New Roman"/>
          <w:bCs/>
          <w:color w:val="auto"/>
          <w:spacing w:val="6"/>
          <w:kern w:val="0"/>
          <w:sz w:val="28"/>
          <w:szCs w:val="28"/>
          <w:lang w:val="en-US" w:eastAsia="zh-CN"/>
        </w:rPr>
        <w:t>省水利厅先后出台</w:t>
      </w:r>
      <w:r>
        <w:rPr>
          <w:rFonts w:hint="default" w:ascii="Times New Roman" w:hAnsi="Times New Roman" w:cs="Times New Roman"/>
          <w:bCs/>
          <w:color w:val="auto"/>
          <w:spacing w:val="6"/>
          <w:kern w:val="0"/>
          <w:sz w:val="28"/>
          <w:szCs w:val="28"/>
        </w:rPr>
        <w:t>《省发展改革委省财政厅转发国家发展改革委财政部关于降低电信网码号资源占用费等部分行政事业性收费标准的通知》</w:t>
      </w:r>
      <w:r>
        <w:rPr>
          <w:rFonts w:hint="default" w:ascii="Times New Roman" w:hAnsi="Times New Roman" w:cs="Times New Roman"/>
          <w:bCs/>
          <w:color w:val="auto"/>
          <w:spacing w:val="6"/>
          <w:kern w:val="0"/>
          <w:sz w:val="28"/>
          <w:szCs w:val="28"/>
          <w:lang w:eastAsia="zh-CN"/>
        </w:rPr>
        <w:t>、</w:t>
      </w:r>
      <w:r>
        <w:rPr>
          <w:rFonts w:hint="default" w:ascii="Times New Roman" w:hAnsi="Times New Roman" w:cs="Times New Roman"/>
          <w:color w:val="auto"/>
          <w:spacing w:val="6"/>
          <w:kern w:val="0"/>
          <w:sz w:val="28"/>
          <w:szCs w:val="28"/>
        </w:rPr>
        <w:t>《关于开展贵州省水土保持工程建设以奖代补试点工作的实施意见》</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bCs/>
          <w:color w:val="auto"/>
          <w:spacing w:val="6"/>
          <w:kern w:val="0"/>
          <w:sz w:val="28"/>
          <w:szCs w:val="28"/>
        </w:rPr>
        <w:t>《贵州省生产建设项目水土保持管理办法》</w:t>
      </w:r>
      <w:r>
        <w:rPr>
          <w:rFonts w:hint="default" w:ascii="Times New Roman" w:hAnsi="Times New Roman" w:cs="Times New Roman"/>
          <w:bCs/>
          <w:color w:val="auto"/>
          <w:spacing w:val="6"/>
          <w:kern w:val="0"/>
          <w:sz w:val="28"/>
          <w:szCs w:val="28"/>
          <w:lang w:eastAsia="zh-CN"/>
        </w:rPr>
        <w:t>、</w:t>
      </w:r>
      <w:r>
        <w:rPr>
          <w:rFonts w:hint="default" w:ascii="Times New Roman" w:hAnsi="Times New Roman" w:cs="Times New Roman"/>
          <w:bCs/>
          <w:color w:val="auto"/>
          <w:spacing w:val="6"/>
          <w:kern w:val="0"/>
          <w:sz w:val="28"/>
          <w:szCs w:val="28"/>
        </w:rPr>
        <w:t>《关于印发贵州省生产建设项目水土保持方案承诺（备案）流程的通知》</w:t>
      </w:r>
      <w:r>
        <w:rPr>
          <w:rFonts w:hint="default" w:ascii="Times New Roman" w:hAnsi="Times New Roman" w:cs="Times New Roman"/>
          <w:bCs/>
          <w:color w:val="auto"/>
          <w:spacing w:val="6"/>
          <w:kern w:val="0"/>
          <w:sz w:val="28"/>
          <w:szCs w:val="28"/>
          <w:lang w:eastAsia="zh-CN"/>
        </w:rPr>
        <w:t>、《</w:t>
      </w:r>
      <w:r>
        <w:rPr>
          <w:rFonts w:hint="default" w:ascii="Times New Roman" w:hAnsi="Times New Roman" w:cs="Times New Roman"/>
          <w:bCs/>
          <w:color w:val="auto"/>
          <w:spacing w:val="6"/>
          <w:kern w:val="0"/>
          <w:sz w:val="28"/>
          <w:szCs w:val="28"/>
        </w:rPr>
        <w:t>省水利厅关于公布贵州省水土保持专家库专家名单的通知》</w:t>
      </w:r>
      <w:r>
        <w:rPr>
          <w:rFonts w:hint="default" w:ascii="Times New Roman" w:hAnsi="Times New Roman" w:cs="Times New Roman"/>
          <w:bCs/>
          <w:color w:val="auto"/>
          <w:spacing w:val="6"/>
          <w:kern w:val="0"/>
          <w:sz w:val="28"/>
          <w:szCs w:val="28"/>
          <w:lang w:val="en-US" w:eastAsia="zh-CN"/>
        </w:rPr>
        <w:t>及</w:t>
      </w:r>
      <w:r>
        <w:rPr>
          <w:rFonts w:hint="default" w:ascii="Times New Roman" w:hAnsi="Times New Roman" w:cs="Times New Roman"/>
          <w:bCs/>
          <w:color w:val="auto"/>
          <w:spacing w:val="6"/>
          <w:kern w:val="0"/>
          <w:sz w:val="28"/>
          <w:szCs w:val="28"/>
        </w:rPr>
        <w:t>《省水利厅关于贵州省开发区建设推行水土保持区域评估制度的通知》</w:t>
      </w:r>
      <w:r>
        <w:rPr>
          <w:rFonts w:hint="default" w:ascii="Times New Roman" w:hAnsi="Times New Roman" w:cs="Times New Roman"/>
          <w:bCs/>
          <w:color w:val="auto"/>
          <w:spacing w:val="6"/>
          <w:kern w:val="0"/>
          <w:sz w:val="28"/>
          <w:szCs w:val="28"/>
          <w:lang w:val="en-US" w:eastAsia="zh-CN"/>
        </w:rPr>
        <w:t>等一系列规章制度，对推进</w:t>
      </w:r>
      <w:r>
        <w:rPr>
          <w:rFonts w:hint="default" w:ascii="Times New Roman" w:hAnsi="Times New Roman" w:cs="Times New Roman"/>
          <w:bCs/>
          <w:color w:val="auto"/>
          <w:spacing w:val="6"/>
          <w:kern w:val="0"/>
          <w:sz w:val="28"/>
          <w:szCs w:val="28"/>
        </w:rPr>
        <w:t>全省水土保持监督管理、综合治理、监测评价</w:t>
      </w:r>
      <w:r>
        <w:rPr>
          <w:rFonts w:hint="default" w:ascii="Times New Roman" w:hAnsi="Times New Roman" w:cs="Times New Roman"/>
          <w:bCs/>
          <w:color w:val="auto"/>
          <w:spacing w:val="6"/>
          <w:kern w:val="0"/>
          <w:sz w:val="28"/>
          <w:szCs w:val="28"/>
          <w:lang w:val="en-US" w:eastAsia="zh-CN"/>
        </w:rPr>
        <w:t>工作，规范</w:t>
      </w:r>
      <w:r>
        <w:rPr>
          <w:rFonts w:hint="default" w:ascii="Times New Roman" w:hAnsi="Times New Roman" w:cs="Times New Roman"/>
          <w:bCs/>
          <w:color w:val="auto"/>
          <w:spacing w:val="6"/>
          <w:kern w:val="0"/>
          <w:sz w:val="28"/>
          <w:szCs w:val="28"/>
        </w:rPr>
        <w:t>水土保持补偿费征收</w:t>
      </w:r>
      <w:r>
        <w:rPr>
          <w:rFonts w:hint="default" w:ascii="Times New Roman" w:hAnsi="Times New Roman" w:cs="Times New Roman"/>
          <w:bCs/>
          <w:color w:val="auto"/>
          <w:spacing w:val="6"/>
          <w:kern w:val="0"/>
          <w:sz w:val="28"/>
          <w:szCs w:val="28"/>
          <w:lang w:val="en-US" w:eastAsia="zh-CN"/>
        </w:rPr>
        <w:t>及</w:t>
      </w:r>
      <w:r>
        <w:rPr>
          <w:rFonts w:hint="default" w:ascii="Times New Roman" w:hAnsi="Times New Roman" w:cs="Times New Roman"/>
          <w:bCs/>
          <w:color w:val="auto"/>
          <w:spacing w:val="6"/>
          <w:kern w:val="0"/>
          <w:sz w:val="28"/>
          <w:szCs w:val="28"/>
        </w:rPr>
        <w:t>生产建设项目水土保持方案编报、审批、监督检查、设施验收</w:t>
      </w:r>
      <w:r>
        <w:rPr>
          <w:rFonts w:hint="default" w:ascii="Times New Roman" w:hAnsi="Times New Roman" w:cs="Times New Roman"/>
          <w:bCs/>
          <w:color w:val="auto"/>
          <w:spacing w:val="6"/>
          <w:kern w:val="0"/>
          <w:sz w:val="28"/>
          <w:szCs w:val="28"/>
          <w:lang w:eastAsia="zh-CN"/>
        </w:rPr>
        <w:t>，</w:t>
      </w:r>
      <w:r>
        <w:rPr>
          <w:rFonts w:hint="default" w:ascii="Times New Roman" w:hAnsi="Times New Roman" w:cs="Times New Roman"/>
          <w:color w:val="auto"/>
          <w:spacing w:val="6"/>
          <w:kern w:val="0"/>
          <w:sz w:val="28"/>
          <w:szCs w:val="28"/>
        </w:rPr>
        <w:t>创新水土保持工程建管体制机制</w:t>
      </w:r>
      <w:r>
        <w:rPr>
          <w:rFonts w:hint="default" w:ascii="Times New Roman" w:hAnsi="Times New Roman" w:cs="Times New Roman"/>
          <w:color w:val="auto"/>
          <w:spacing w:val="6"/>
          <w:kern w:val="0"/>
          <w:sz w:val="28"/>
          <w:szCs w:val="28"/>
          <w:lang w:val="en-US" w:eastAsia="zh-CN"/>
        </w:rPr>
        <w:t>等方面提供了有力的政策保障和法律依据。</w:t>
      </w:r>
    </w:p>
    <w:p w14:paraId="4D308FC0">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44" w:name="_Toc13952"/>
      <w:r>
        <w:rPr>
          <w:rFonts w:hint="default" w:ascii="楷体_GB2312" w:hAnsi="楷体_GB2312" w:eastAsia="楷体_GB2312" w:cs="楷体_GB2312"/>
          <w:b/>
          <w:bCs w:val="0"/>
          <w:snapToGrid w:val="0"/>
          <w:color w:val="auto"/>
          <w:kern w:val="2"/>
          <w:sz w:val="30"/>
          <w:szCs w:val="30"/>
          <w:lang w:val="en-US" w:eastAsia="zh-CN" w:bidi="ar-SA"/>
        </w:rPr>
        <w:t>（二）水土保持监督管理</w:t>
      </w:r>
      <w:bookmarkEnd w:id="44"/>
    </w:p>
    <w:p w14:paraId="083B3746">
      <w:pPr>
        <w:spacing w:line="360" w:lineRule="auto"/>
        <w:ind w:firstLine="584" w:firstLineChars="200"/>
        <w:rPr>
          <w:rFonts w:hint="default" w:ascii="Times New Roman" w:hAnsi="Times New Roman" w:cs="Times New Roman" w:eastAsiaTheme="minorEastAsia"/>
          <w:b w:val="0"/>
          <w:bCs/>
          <w:color w:val="auto"/>
          <w:spacing w:val="6"/>
          <w:kern w:val="0"/>
          <w:sz w:val="28"/>
          <w:szCs w:val="28"/>
          <w:lang w:val="en-US" w:eastAsia="zh-CN" w:bidi="ar-SA"/>
        </w:rPr>
      </w:pPr>
      <w:r>
        <w:rPr>
          <w:rFonts w:hint="default" w:ascii="Times New Roman" w:hAnsi="Times New Roman" w:cs="Times New Roman" w:eastAsiaTheme="minorEastAsia"/>
          <w:b w:val="0"/>
          <w:bCs/>
          <w:color w:val="auto"/>
          <w:spacing w:val="6"/>
          <w:kern w:val="0"/>
          <w:sz w:val="28"/>
          <w:szCs w:val="28"/>
          <w:lang w:val="en-US" w:eastAsia="zh-CN" w:bidi="ar-SA"/>
        </w:rPr>
        <w:t>全</w:t>
      </w:r>
      <w:bookmarkStart w:id="45" w:name="_Toc32881810"/>
      <w:r>
        <w:rPr>
          <w:rFonts w:hint="default" w:ascii="Times New Roman" w:hAnsi="Times New Roman" w:cs="Times New Roman" w:eastAsiaTheme="minorEastAsia"/>
          <w:b w:val="0"/>
          <w:bCs/>
          <w:color w:val="auto"/>
          <w:spacing w:val="6"/>
          <w:kern w:val="0"/>
          <w:sz w:val="28"/>
          <w:szCs w:val="28"/>
          <w:lang w:val="en-US" w:eastAsia="zh-CN" w:bidi="ar-SA"/>
        </w:rPr>
        <w:t>省共审批生产建设项目水土</w:t>
      </w:r>
      <w:bookmarkEnd w:id="45"/>
      <w:r>
        <w:rPr>
          <w:rFonts w:hint="default" w:ascii="Times New Roman" w:hAnsi="Times New Roman" w:cs="Times New Roman" w:eastAsiaTheme="minorEastAsia"/>
          <w:b w:val="0"/>
          <w:bCs/>
          <w:color w:val="auto"/>
          <w:spacing w:val="6"/>
          <w:kern w:val="0"/>
          <w:sz w:val="28"/>
          <w:szCs w:val="28"/>
          <w:lang w:val="en-US" w:eastAsia="zh-CN" w:bidi="ar-SA"/>
        </w:rPr>
        <w:t>保</w:t>
      </w:r>
      <w:bookmarkStart w:id="46" w:name="_Toc32881811"/>
      <w:r>
        <w:rPr>
          <w:rFonts w:hint="default" w:ascii="Times New Roman" w:hAnsi="Times New Roman" w:cs="Times New Roman" w:eastAsiaTheme="minorEastAsia"/>
          <w:b w:val="0"/>
          <w:bCs/>
          <w:color w:val="auto"/>
          <w:spacing w:val="6"/>
          <w:kern w:val="0"/>
          <w:sz w:val="28"/>
          <w:szCs w:val="28"/>
          <w:lang w:val="en-US" w:eastAsia="zh-CN" w:bidi="ar-SA"/>
        </w:rPr>
        <w:t>持方案15543项，</w:t>
      </w:r>
      <w:bookmarkEnd w:id="46"/>
      <w:r>
        <w:rPr>
          <w:rFonts w:hint="default" w:ascii="Times New Roman" w:hAnsi="Times New Roman" w:cs="Times New Roman" w:eastAsiaTheme="minorEastAsia"/>
          <w:b w:val="0"/>
          <w:bCs/>
          <w:color w:val="auto"/>
          <w:spacing w:val="6"/>
          <w:kern w:val="0"/>
          <w:sz w:val="28"/>
          <w:szCs w:val="28"/>
          <w:lang w:val="en-US" w:eastAsia="zh-CN" w:bidi="ar-SA"/>
        </w:rPr>
        <w:t>涉及水土流失防治责任范围28.39万公顷，投入水土流失防治资金950.64亿元，工程设计拦挡弃土弃渣15.61亿方。</w:t>
      </w:r>
      <w:bookmarkStart w:id="47" w:name="_Toc22465"/>
      <w:bookmarkStart w:id="48" w:name="_Toc32881812"/>
      <w:r>
        <w:rPr>
          <w:rFonts w:hint="default" w:ascii="Times New Roman" w:hAnsi="Times New Roman" w:cs="Times New Roman" w:eastAsiaTheme="minorEastAsia"/>
          <w:b w:val="0"/>
          <w:bCs/>
          <w:color w:val="auto"/>
          <w:spacing w:val="6"/>
          <w:kern w:val="0"/>
          <w:sz w:val="28"/>
          <w:szCs w:val="28"/>
          <w:lang w:val="en-US" w:eastAsia="zh-CN" w:bidi="ar-SA"/>
        </w:rPr>
        <w:t>开展生产建设项目水土保持监督检查22231个</w:t>
      </w:r>
      <w:bookmarkEnd w:id="47"/>
      <w:bookmarkEnd w:id="48"/>
      <w:r>
        <w:rPr>
          <w:rFonts w:hint="default" w:ascii="Times New Roman" w:hAnsi="Times New Roman" w:cs="Times New Roman"/>
          <w:b w:val="0"/>
          <w:bCs/>
          <w:color w:val="auto"/>
          <w:spacing w:val="6"/>
          <w:kern w:val="0"/>
          <w:sz w:val="28"/>
          <w:szCs w:val="28"/>
          <w:lang w:val="en-US" w:eastAsia="zh-CN" w:bidi="ar-SA"/>
        </w:rPr>
        <w:t>，</w:t>
      </w:r>
      <w:r>
        <w:rPr>
          <w:rFonts w:hint="default" w:ascii="Times New Roman" w:hAnsi="Times New Roman" w:cs="Times New Roman" w:eastAsiaTheme="minorEastAsia"/>
          <w:b w:val="0"/>
          <w:bCs/>
          <w:color w:val="auto"/>
          <w:spacing w:val="6"/>
          <w:kern w:val="0"/>
          <w:sz w:val="28"/>
          <w:szCs w:val="28"/>
          <w:lang w:val="en-US" w:eastAsia="zh-CN" w:bidi="ar-SA"/>
        </w:rPr>
        <w:t>查处水土保持违法案件3267起，对67家</w:t>
      </w:r>
      <w:r>
        <w:rPr>
          <w:rFonts w:hint="default" w:ascii="Times New Roman" w:hAnsi="Times New Roman" w:cs="Times New Roman"/>
          <w:b w:val="0"/>
          <w:bCs/>
          <w:color w:val="auto"/>
          <w:spacing w:val="6"/>
          <w:kern w:val="0"/>
          <w:sz w:val="28"/>
          <w:szCs w:val="28"/>
          <w:lang w:val="en-US" w:eastAsia="zh-CN" w:bidi="ar-SA"/>
        </w:rPr>
        <w:t>相</w:t>
      </w:r>
      <w:r>
        <w:rPr>
          <w:rFonts w:hint="default" w:ascii="Times New Roman" w:hAnsi="Times New Roman" w:cs="Times New Roman" w:eastAsiaTheme="minorEastAsia"/>
          <w:b w:val="0"/>
          <w:bCs/>
          <w:color w:val="auto"/>
          <w:spacing w:val="6"/>
          <w:kern w:val="0"/>
          <w:sz w:val="28"/>
          <w:szCs w:val="28"/>
          <w:lang w:val="en-US" w:eastAsia="zh-CN" w:bidi="ar-SA"/>
        </w:rPr>
        <w:t>关单位进行约谈，将</w:t>
      </w:r>
      <w:r>
        <w:rPr>
          <w:rFonts w:hint="default" w:ascii="Times New Roman" w:hAnsi="Times New Roman" w:cs="Times New Roman"/>
          <w:b w:val="0"/>
          <w:bCs/>
          <w:color w:val="auto"/>
          <w:spacing w:val="6"/>
          <w:kern w:val="0"/>
          <w:sz w:val="28"/>
          <w:szCs w:val="28"/>
          <w:lang w:val="en-US" w:eastAsia="zh-CN" w:bidi="ar-SA"/>
        </w:rPr>
        <w:t>1家单位</w:t>
      </w:r>
      <w:r>
        <w:rPr>
          <w:rFonts w:hint="default" w:ascii="Times New Roman" w:hAnsi="Times New Roman" w:cs="Times New Roman" w:eastAsiaTheme="minorEastAsia"/>
          <w:b w:val="0"/>
          <w:bCs/>
          <w:color w:val="auto"/>
          <w:spacing w:val="6"/>
          <w:kern w:val="0"/>
          <w:sz w:val="28"/>
          <w:szCs w:val="28"/>
          <w:lang w:val="en-US" w:eastAsia="zh-CN" w:bidi="ar-SA"/>
        </w:rPr>
        <w:t>列入水土保持“重点关注名单”，</w:t>
      </w:r>
      <w:r>
        <w:rPr>
          <w:rFonts w:hint="default" w:ascii="Times New Roman" w:hAnsi="Times New Roman" w:cs="Times New Roman"/>
          <w:b w:val="0"/>
          <w:bCs/>
          <w:color w:val="auto"/>
          <w:spacing w:val="6"/>
          <w:kern w:val="0"/>
          <w:sz w:val="28"/>
          <w:szCs w:val="28"/>
          <w:lang w:val="en-US" w:eastAsia="zh-CN" w:bidi="ar-SA"/>
        </w:rPr>
        <w:t>1家单位</w:t>
      </w:r>
      <w:r>
        <w:rPr>
          <w:rFonts w:hint="default" w:ascii="Times New Roman" w:hAnsi="Times New Roman" w:cs="Times New Roman" w:eastAsiaTheme="minorEastAsia"/>
          <w:b w:val="0"/>
          <w:bCs/>
          <w:color w:val="auto"/>
          <w:spacing w:val="6"/>
          <w:kern w:val="0"/>
          <w:sz w:val="28"/>
          <w:szCs w:val="28"/>
          <w:lang w:val="en-US" w:eastAsia="zh-CN" w:bidi="ar-SA"/>
        </w:rPr>
        <w:t>列入水土保持“黑名单”。</w:t>
      </w:r>
      <w:bookmarkStart w:id="49" w:name="_Toc6773"/>
      <w:r>
        <w:rPr>
          <w:rFonts w:hint="default" w:ascii="Times New Roman" w:hAnsi="Times New Roman" w:cs="Times New Roman" w:eastAsiaTheme="minorEastAsia"/>
          <w:b w:val="0"/>
          <w:bCs/>
          <w:color w:val="auto"/>
          <w:spacing w:val="6"/>
          <w:kern w:val="0"/>
          <w:sz w:val="28"/>
          <w:szCs w:val="28"/>
          <w:lang w:val="en-US" w:eastAsia="zh-CN" w:bidi="ar-SA"/>
        </w:rPr>
        <w:t>共完成3356个生产建设项目水土保持设施行政验收和自主验收报备，征收水土保持补偿费12.88</w:t>
      </w:r>
      <w:bookmarkStart w:id="50" w:name="_Toc32881815"/>
      <w:r>
        <w:rPr>
          <w:rFonts w:hint="default" w:ascii="Times New Roman" w:hAnsi="Times New Roman" w:cs="Times New Roman" w:eastAsiaTheme="minorEastAsia"/>
          <w:b w:val="0"/>
          <w:bCs/>
          <w:color w:val="auto"/>
          <w:spacing w:val="6"/>
          <w:kern w:val="0"/>
          <w:sz w:val="28"/>
          <w:szCs w:val="28"/>
          <w:lang w:val="en-US" w:eastAsia="zh-CN" w:bidi="ar-SA"/>
        </w:rPr>
        <w:t>亿元</w:t>
      </w:r>
      <w:bookmarkEnd w:id="49"/>
      <w:bookmarkEnd w:id="50"/>
      <w:r>
        <w:rPr>
          <w:rFonts w:hint="default" w:ascii="Times New Roman" w:hAnsi="Times New Roman" w:cs="Times New Roman" w:eastAsiaTheme="minorEastAsia"/>
          <w:b w:val="0"/>
          <w:bCs/>
          <w:color w:val="auto"/>
          <w:spacing w:val="6"/>
          <w:kern w:val="0"/>
          <w:sz w:val="28"/>
          <w:szCs w:val="28"/>
          <w:lang w:val="en-US" w:eastAsia="zh-CN" w:bidi="ar-SA"/>
        </w:rPr>
        <w:t>。</w:t>
      </w:r>
    </w:p>
    <w:p w14:paraId="189487E1">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51" w:name="_Toc19495"/>
      <w:r>
        <w:rPr>
          <w:rFonts w:hint="default" w:ascii="楷体_GB2312" w:hAnsi="楷体_GB2312" w:eastAsia="楷体_GB2312" w:cs="楷体_GB2312"/>
          <w:b/>
          <w:bCs w:val="0"/>
          <w:snapToGrid w:val="0"/>
          <w:color w:val="auto"/>
          <w:kern w:val="2"/>
          <w:sz w:val="30"/>
          <w:szCs w:val="30"/>
          <w:lang w:val="en-US" w:eastAsia="zh-CN" w:bidi="ar-SA"/>
        </w:rPr>
        <w:t>（三）水土流失综合治理</w:t>
      </w:r>
      <w:bookmarkEnd w:id="51"/>
    </w:p>
    <w:p w14:paraId="1CB67562">
      <w:pPr>
        <w:spacing w:line="360" w:lineRule="auto"/>
        <w:ind w:firstLine="600"/>
        <w:rPr>
          <w:rFonts w:hint="default" w:ascii="Times New Roman" w:hAnsi="Times New Roman" w:eastAsia="宋体" w:cs="Times New Roman"/>
          <w:color w:val="auto"/>
          <w:spacing w:val="6"/>
          <w:kern w:val="0"/>
          <w:sz w:val="28"/>
          <w:szCs w:val="28"/>
          <w:lang w:val="en-US" w:eastAsia="zh-CN"/>
        </w:rPr>
      </w:pPr>
      <w:r>
        <w:rPr>
          <w:rFonts w:hint="default" w:ascii="Times New Roman" w:hAnsi="Times New Roman" w:cs="Times New Roman"/>
          <w:color w:val="auto"/>
          <w:spacing w:val="6"/>
          <w:kern w:val="0"/>
          <w:sz w:val="28"/>
          <w:szCs w:val="28"/>
        </w:rPr>
        <w:t>水利、发改、林业、自然资</w:t>
      </w:r>
      <w:bookmarkStart w:id="52" w:name="_Toc32881816"/>
      <w:r>
        <w:rPr>
          <w:rFonts w:hint="default" w:ascii="Times New Roman" w:hAnsi="Times New Roman" w:cs="Times New Roman"/>
          <w:color w:val="auto"/>
          <w:spacing w:val="6"/>
          <w:kern w:val="0"/>
          <w:sz w:val="28"/>
          <w:szCs w:val="28"/>
        </w:rPr>
        <w:t>源、生态环境等部门实施国家水</w:t>
      </w:r>
      <w:bookmarkEnd w:id="52"/>
      <w:r>
        <w:rPr>
          <w:rFonts w:hint="default" w:ascii="Times New Roman" w:hAnsi="Times New Roman" w:cs="Times New Roman"/>
          <w:color w:val="auto"/>
          <w:spacing w:val="6"/>
          <w:kern w:val="0"/>
          <w:sz w:val="28"/>
          <w:szCs w:val="28"/>
        </w:rPr>
        <w:t>土</w:t>
      </w:r>
      <w:bookmarkStart w:id="53" w:name="_Toc32881817"/>
      <w:r>
        <w:rPr>
          <w:rFonts w:hint="default" w:ascii="Times New Roman" w:hAnsi="Times New Roman" w:cs="Times New Roman"/>
          <w:color w:val="auto"/>
          <w:spacing w:val="6"/>
          <w:kern w:val="0"/>
          <w:sz w:val="28"/>
          <w:szCs w:val="28"/>
        </w:rPr>
        <w:t>保持重点治理、坡耕地治理、石</w:t>
      </w:r>
      <w:bookmarkEnd w:id="53"/>
      <w:r>
        <w:rPr>
          <w:rFonts w:hint="default" w:ascii="Times New Roman" w:hAnsi="Times New Roman" w:cs="Times New Roman"/>
          <w:color w:val="auto"/>
          <w:spacing w:val="6"/>
          <w:kern w:val="0"/>
          <w:sz w:val="28"/>
          <w:szCs w:val="28"/>
        </w:rPr>
        <w:t>漠化治理、退耕还林还草、矿山整治修复工程，共治理水土流失面积13361.45平方公里。其中水利部门治理面积2982.65平方公里，发改部门治理面积4103.47平方公里，林业部门治理面积4449.46平方公里，自然资源部门治理面积498.79平方公里，农业农村部门治理面积449.24平方公里，财政部门治理面积134.34平方公里，生态部门治理面积5.16平方公里，其他部门治理面积210.24平方公里，社会资本及地方资本治理面积528平方公里。完成总投资129.79亿元，其中中央投资81.33亿元，地方投资38.73亿元，其他投资9.73亿元。</w:t>
      </w:r>
      <w:r>
        <w:rPr>
          <w:rFonts w:hint="default" w:ascii="Times New Roman" w:hAnsi="Times New Roman" w:cs="Times New Roman"/>
          <w:color w:val="auto"/>
          <w:spacing w:val="6"/>
          <w:kern w:val="0"/>
          <w:sz w:val="28"/>
          <w:szCs w:val="28"/>
          <w:lang w:val="en-US" w:eastAsia="zh-CN"/>
        </w:rPr>
        <w:t>结合我省十二大特色产业，重点发展茶叶、油茶、刺梨、猕猴桃等主导产业，实施各项水土保持措施共增加经济收入102亿元以上，增产粮食26900余万公斤，预期可给项目区群众增加收益6.2亿元/年，贫困地区受益520余万人，极大地改善当地生产条件，推动水土保持工程发挥生态效益和经济效益。</w:t>
      </w:r>
    </w:p>
    <w:p w14:paraId="568870DC">
      <w:pPr>
        <w:spacing w:line="360" w:lineRule="auto"/>
        <w:ind w:firstLine="600"/>
        <w:rPr>
          <w:rFonts w:hint="default" w:ascii="Times New Roman" w:hAnsi="Times New Roman" w:eastAsia="宋体" w:cs="Times New Roman"/>
          <w:color w:val="auto"/>
          <w:spacing w:val="6"/>
          <w:kern w:val="0"/>
          <w:sz w:val="28"/>
          <w:szCs w:val="28"/>
          <w:lang w:val="en-US" w:eastAsia="zh-CN"/>
        </w:rPr>
      </w:pPr>
      <w:r>
        <w:rPr>
          <w:rFonts w:hint="default" w:ascii="Times New Roman" w:hAnsi="Times New Roman" w:cs="Times New Roman"/>
          <w:color w:val="auto"/>
          <w:kern w:val="0"/>
          <w:sz w:val="28"/>
          <w:szCs w:val="28"/>
          <w:lang w:val="en-US" w:eastAsia="zh-CN"/>
        </w:rPr>
        <w:t>与2015年相比，全省</w:t>
      </w:r>
      <w:r>
        <w:rPr>
          <w:rFonts w:hint="default" w:ascii="Times New Roman" w:hAnsi="Times New Roman" w:cs="Times New Roman"/>
          <w:color w:val="auto"/>
          <w:kern w:val="0"/>
          <w:sz w:val="28"/>
          <w:szCs w:val="28"/>
        </w:rPr>
        <w:t>水土流失面积由48791.87平方公里减少到47008.20平方公里，减少了1783.67平方公里，中度以上水土流失面积减少了6505.26平方公里，</w:t>
      </w:r>
      <w:r>
        <w:rPr>
          <w:rFonts w:hint="default" w:ascii="Times New Roman" w:hAnsi="Times New Roman" w:cs="Times New Roman"/>
          <w:color w:val="auto"/>
          <w:sz w:val="22"/>
        </w:rPr>
        <mc:AlternateContent>
          <mc:Choice Requires="wps">
            <w:drawing>
              <wp:anchor distT="0" distB="0" distL="113665" distR="113665" simplePos="0" relativeHeight="251659264" behindDoc="0" locked="0" layoutInCell="1" allowOverlap="1">
                <wp:simplePos x="0" y="0"/>
                <wp:positionH relativeFrom="column">
                  <wp:posOffset>2468880</wp:posOffset>
                </wp:positionH>
                <wp:positionV relativeFrom="paragraph">
                  <wp:posOffset>5182870</wp:posOffset>
                </wp:positionV>
                <wp:extent cx="528955" cy="464185"/>
                <wp:effectExtent l="0" t="0" r="0" b="0"/>
                <wp:wrapNone/>
                <wp:docPr id="117" name="文本框 410"/>
                <wp:cNvGraphicFramePr/>
                <a:graphic xmlns:a="http://schemas.openxmlformats.org/drawingml/2006/main">
                  <a:graphicData uri="http://schemas.microsoft.com/office/word/2010/wordprocessingShape">
                    <wps:wsp>
                      <wps:cNvSpPr/>
                      <wps:spPr>
                        <a:xfrm>
                          <a:off x="0" y="0"/>
                          <a:ext cx="528955" cy="464184"/>
                        </a:xfrm>
                        <a:prstGeom prst="rect">
                          <a:avLst/>
                        </a:prstGeom>
                        <a:noFill/>
                        <a:ln w="6350" cap="flat" cmpd="sng">
                          <a:noFill/>
                          <a:prstDash val="solid"/>
                          <a:round/>
                        </a:ln>
                      </wps:spPr>
                      <wps:txbx>
                        <w:txbxContent>
                          <w:p w14:paraId="66C97BCD">
                            <w:pPr>
                              <w:rPr>
                                <w:rFonts w:eastAsia="宋体"/>
                                <w:sz w:val="18"/>
                                <w:szCs w:val="18"/>
                                <w:lang w:val="en-US" w:eastAsia="zh-CN"/>
                              </w:rPr>
                            </w:pPr>
                            <w:r>
                              <w:rPr>
                                <w:rFonts w:hint="eastAsia"/>
                                <w:sz w:val="18"/>
                                <w:szCs w:val="18"/>
                                <w:lang w:val="en-US" w:eastAsia="zh-CN"/>
                              </w:rPr>
                              <w:t>- 1 -</w:t>
                            </w:r>
                          </w:p>
                        </w:txbxContent>
                      </wps:txbx>
                      <wps:bodyPr vert="horz" wrap="square" lIns="91440" tIns="45720" rIns="91440" bIns="45720" anchor="t" anchorCtr="0" upright="0">
                        <a:noAutofit/>
                      </wps:bodyPr>
                    </wps:wsp>
                  </a:graphicData>
                </a:graphic>
              </wp:anchor>
            </w:drawing>
          </mc:Choice>
          <mc:Fallback>
            <w:pict>
              <v:rect id="文本框 410" o:spid="_x0000_s1026" o:spt="1" style="position:absolute;left:0pt;margin-left:194.4pt;margin-top:408.1pt;height:36.55pt;width:41.65pt;z-index:251659264;mso-width-relative:page;mso-height-relative:page;" filled="f" stroked="f" coordsize="21600,21600" o:gfxdata="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bg1jcAAAACwEAAA8AAAAA&#10;AAAAAQAgAAAAIgAAAGRycy9kb3ducmV2LnhtbFBLAQIUABQAAAAIAIdO4kAnXQzEEAIAAAoEAAAO&#10;AAAAAAAAAAEAIAAAACsBAABkcnMvZTJvRG9jLnhtbFBLBQYAAAAABgAGAFkBAACtBQAAAAA=&#10;">
                <v:fill on="f" focussize="0,0"/>
                <v:stroke on="f" weight="0.5pt" joinstyle="round"/>
                <v:imagedata o:title=""/>
                <o:lock v:ext="edit" aspectratio="f"/>
                <v:textbox>
                  <w:txbxContent>
                    <w:p w14:paraId="66C97BCD">
                      <w:pPr>
                        <w:rPr>
                          <w:rFonts w:eastAsia="宋体"/>
                          <w:sz w:val="18"/>
                          <w:szCs w:val="18"/>
                          <w:lang w:val="en-US" w:eastAsia="zh-CN"/>
                        </w:rPr>
                      </w:pPr>
                      <w:r>
                        <w:rPr>
                          <w:rFonts w:hint="eastAsia"/>
                          <w:sz w:val="18"/>
                          <w:szCs w:val="18"/>
                          <w:lang w:val="en-US" w:eastAsia="zh-CN"/>
                        </w:rPr>
                        <w:t>- 1 -</w:t>
                      </w:r>
                    </w:p>
                  </w:txbxContent>
                </v:textbox>
              </v:rect>
            </w:pict>
          </mc:Fallback>
        </mc:AlternateContent>
      </w:r>
      <w:r>
        <w:rPr>
          <w:rFonts w:hint="default" w:ascii="Times New Roman" w:hAnsi="Times New Roman" w:cs="Times New Roman"/>
          <w:color w:val="auto"/>
          <w:kern w:val="0"/>
          <w:sz w:val="28"/>
          <w:szCs w:val="28"/>
        </w:rPr>
        <w:t>强烈以上水土流失面积减少了555.58平方公里。</w:t>
      </w:r>
      <w:r>
        <w:rPr>
          <w:rFonts w:hint="default" w:ascii="Times New Roman" w:hAnsi="Times New Roman" w:cs="Times New Roman"/>
          <w:color w:val="auto"/>
          <w:spacing w:val="6"/>
          <w:kern w:val="0"/>
          <w:sz w:val="28"/>
          <w:szCs w:val="28"/>
        </w:rPr>
        <w:t>水土保持率由72.</w:t>
      </w:r>
      <w:bookmarkStart w:id="54" w:name="_Toc32881807"/>
      <w:r>
        <w:rPr>
          <w:rFonts w:hint="default" w:ascii="Times New Roman" w:hAnsi="Times New Roman" w:cs="Times New Roman"/>
          <w:color w:val="auto"/>
          <w:spacing w:val="6"/>
          <w:kern w:val="0"/>
          <w:sz w:val="28"/>
          <w:szCs w:val="28"/>
        </w:rPr>
        <w:t>64%上升到</w:t>
      </w:r>
      <w:bookmarkEnd w:id="54"/>
      <w:r>
        <w:rPr>
          <w:rFonts w:hint="default" w:ascii="Times New Roman" w:hAnsi="Times New Roman" w:cs="Times New Roman"/>
          <w:color w:val="auto"/>
          <w:spacing w:val="6"/>
          <w:kern w:val="0"/>
          <w:sz w:val="28"/>
          <w:szCs w:val="28"/>
        </w:rPr>
        <w:t>73.32%。</w:t>
      </w:r>
      <w:r>
        <w:rPr>
          <w:rFonts w:hint="default" w:ascii="Times New Roman" w:hAnsi="Times New Roman" w:cs="Times New Roman"/>
          <w:color w:val="auto"/>
          <w:sz w:val="28"/>
          <w:szCs w:val="28"/>
        </w:rPr>
        <w:t>全省水土流失状况持续好转，水土流失面积、强度呈现“双下降”趋势，生态环境质量持续向好。</w:t>
      </w:r>
    </w:p>
    <w:p w14:paraId="3F22FDD5">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55" w:name="_Toc6203"/>
      <w:r>
        <w:rPr>
          <w:rFonts w:hint="default" w:ascii="楷体_GB2312" w:hAnsi="楷体_GB2312" w:eastAsia="楷体_GB2312" w:cs="楷体_GB2312"/>
          <w:b/>
          <w:bCs w:val="0"/>
          <w:snapToGrid w:val="0"/>
          <w:color w:val="auto"/>
          <w:kern w:val="2"/>
          <w:sz w:val="30"/>
          <w:szCs w:val="30"/>
          <w:lang w:val="en-US" w:eastAsia="zh-CN" w:bidi="ar-SA"/>
        </w:rPr>
        <w:t>（四）水土保持监测</w:t>
      </w:r>
      <w:bookmarkEnd w:id="55"/>
    </w:p>
    <w:p w14:paraId="6C2E8158">
      <w:pPr>
        <w:spacing w:line="360" w:lineRule="auto"/>
        <w:ind w:firstLine="584" w:firstLineChars="200"/>
        <w:rPr>
          <w:rFonts w:hint="default" w:ascii="Times New Roman" w:hAnsi="Times New Roman" w:cs="Times New Roman"/>
          <w:bCs/>
          <w:color w:val="auto"/>
          <w:spacing w:val="6"/>
          <w:kern w:val="0"/>
          <w:sz w:val="28"/>
          <w:szCs w:val="28"/>
        </w:rPr>
      </w:pPr>
      <w:r>
        <w:rPr>
          <w:rFonts w:hint="default" w:ascii="Times New Roman" w:hAnsi="Times New Roman" w:cs="Times New Roman"/>
          <w:bCs/>
          <w:color w:val="auto"/>
          <w:spacing w:val="6"/>
          <w:kern w:val="0"/>
          <w:sz w:val="28"/>
          <w:szCs w:val="28"/>
        </w:rPr>
        <w:t>以省水土保持监测站为中心，9个市（州）水土保持监测分站和36个县（市、区、特区）水土保持监测机构为骨架，29个监测站点（其中国家级水土保持监测点23个（含9个利用的水文站点）、省级水土保持监测点4个、利用科研点2个）为支撑的全省水土保持监测网络，每年进行观测数据整编。监测站网年度运行管理经费纳入省级财政预算，确保监测站点的正常运行。毕节丁家寨、西秀区三股水、遵义浒洋水等监测站点完成自动化升级改造，实现监测数据自动监测、实时传输。</w:t>
      </w:r>
    </w:p>
    <w:p w14:paraId="0185B5A8">
      <w:pPr>
        <w:spacing w:line="360" w:lineRule="auto"/>
        <w:ind w:firstLine="584" w:firstLineChars="200"/>
        <w:rPr>
          <w:rFonts w:hint="default" w:ascii="Times New Roman" w:hAnsi="Times New Roman" w:cs="Times New Roman"/>
          <w:color w:val="auto"/>
          <w:spacing w:val="6"/>
          <w:kern w:val="0"/>
          <w:sz w:val="28"/>
          <w:szCs w:val="28"/>
          <w:lang w:val="en-US" w:eastAsia="zh-CN"/>
        </w:rPr>
      </w:pPr>
      <w:bookmarkStart w:id="56" w:name="_Toc32881824"/>
      <w:r>
        <w:rPr>
          <w:rFonts w:hint="default" w:ascii="Times New Roman" w:hAnsi="Times New Roman" w:cs="Times New Roman"/>
          <w:bCs/>
          <w:color w:val="auto"/>
          <w:spacing w:val="6"/>
          <w:kern w:val="0"/>
          <w:sz w:val="28"/>
          <w:szCs w:val="28"/>
        </w:rPr>
        <w:t>省水利厅、</w:t>
      </w:r>
      <w:r>
        <w:rPr>
          <w:rFonts w:hint="default" w:ascii="Times New Roman" w:hAnsi="Times New Roman" w:cs="Times New Roman"/>
          <w:color w:val="auto"/>
          <w:spacing w:val="6"/>
          <w:kern w:val="0"/>
          <w:sz w:val="28"/>
          <w:szCs w:val="28"/>
        </w:rPr>
        <w:t>珠江水利委员会和长江</w:t>
      </w:r>
      <w:bookmarkEnd w:id="56"/>
      <w:r>
        <w:rPr>
          <w:rFonts w:hint="default" w:ascii="Times New Roman" w:hAnsi="Times New Roman" w:cs="Times New Roman"/>
          <w:color w:val="auto"/>
          <w:spacing w:val="6"/>
          <w:kern w:val="0"/>
          <w:sz w:val="28"/>
          <w:szCs w:val="28"/>
        </w:rPr>
        <w:t>水利委员会共同开展</w:t>
      </w:r>
      <w:r>
        <w:rPr>
          <w:rFonts w:hint="default" w:ascii="Times New Roman" w:hAnsi="Times New Roman" w:cs="Times New Roman"/>
          <w:color w:val="auto"/>
          <w:spacing w:val="6"/>
          <w:kern w:val="0"/>
          <w:sz w:val="28"/>
          <w:szCs w:val="28"/>
          <w:lang w:val="en-US" w:eastAsia="zh-CN"/>
        </w:rPr>
        <w:t>全省以及遵义市赤水河、黔东南巴拉河、威宁草海、贵阳阿哈水库、黔南剑江河等5条流域的</w:t>
      </w:r>
      <w:r>
        <w:rPr>
          <w:rFonts w:hint="default" w:ascii="Times New Roman" w:hAnsi="Times New Roman" w:cs="Times New Roman"/>
          <w:color w:val="auto"/>
          <w:spacing w:val="6"/>
          <w:kern w:val="0"/>
          <w:sz w:val="28"/>
          <w:szCs w:val="28"/>
        </w:rPr>
        <w:t>水土流失动态监测</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color w:val="auto"/>
          <w:spacing w:val="6"/>
          <w:kern w:val="0"/>
          <w:sz w:val="28"/>
          <w:szCs w:val="28"/>
        </w:rPr>
        <w:t>2018年、2019年发布了贵州省水土保持公报。</w:t>
      </w:r>
      <w:bookmarkStart w:id="57" w:name="_Toc19155"/>
      <w:bookmarkStart w:id="58" w:name="_Toc32881825"/>
    </w:p>
    <w:p w14:paraId="531F5337">
      <w:pPr>
        <w:numPr>
          <w:ilvl w:val="0"/>
          <w:numId w:val="0"/>
        </w:numPr>
        <w:spacing w:line="360" w:lineRule="auto"/>
        <w:ind w:firstLine="56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color w:val="auto"/>
          <w:kern w:val="0"/>
          <w:sz w:val="28"/>
          <w:szCs w:val="28"/>
          <w:lang w:val="en-US" w:eastAsia="zh-CN"/>
        </w:rPr>
        <w:t>省水利厅</w:t>
      </w:r>
      <w:r>
        <w:rPr>
          <w:rFonts w:hint="default" w:ascii="Times New Roman" w:hAnsi="Times New Roman" w:cs="Times New Roman"/>
          <w:color w:val="auto"/>
          <w:kern w:val="0"/>
          <w:sz w:val="28"/>
          <w:szCs w:val="28"/>
        </w:rPr>
        <w:t>有计划、有重点地选取</w:t>
      </w:r>
      <w:r>
        <w:rPr>
          <w:rFonts w:hint="default" w:ascii="Times New Roman" w:hAnsi="Times New Roman" w:cs="Times New Roman"/>
          <w:snapToGrid w:val="0"/>
          <w:color w:val="auto"/>
          <w:kern w:val="0"/>
          <w:sz w:val="28"/>
          <w:szCs w:val="28"/>
        </w:rPr>
        <w:t>龙洞堡机场、贵阳至南宁客运铁路、贵州省赤水至望谟高速公路紫云至望谟段、贵州省黄家湾水利枢纽工程、兰州至海口国家高速公路重庆至遵义段（贵州境）扩容工程、贵州省夹岩水利枢纽及黔西北供水工程等34个</w:t>
      </w:r>
      <w:r>
        <w:rPr>
          <w:rFonts w:hint="default" w:ascii="Times New Roman" w:hAnsi="Times New Roman" w:cs="Times New Roman"/>
          <w:color w:val="auto"/>
          <w:kern w:val="0"/>
          <w:sz w:val="28"/>
          <w:szCs w:val="28"/>
        </w:rPr>
        <w:t>在建重大生产建设项目开展水土保持监督性监测工作，</w:t>
      </w:r>
      <w:r>
        <w:rPr>
          <w:rFonts w:hint="default" w:ascii="Times New Roman" w:hAnsi="Times New Roman" w:cs="Times New Roman"/>
          <w:color w:val="auto"/>
          <w:sz w:val="28"/>
        </w:rPr>
        <w:t>及时发现项目建设过程中存在的问题，提出了合理化的建议和处置方案，</w:t>
      </w:r>
      <w:bookmarkEnd w:id="57"/>
      <w:bookmarkEnd w:id="58"/>
      <w:r>
        <w:rPr>
          <w:rFonts w:hint="default" w:ascii="Times New Roman" w:hAnsi="Times New Roman" w:cs="Times New Roman"/>
          <w:snapToGrid w:val="0"/>
          <w:color w:val="auto"/>
          <w:kern w:val="0"/>
          <w:sz w:val="28"/>
          <w:szCs w:val="28"/>
        </w:rPr>
        <w:t>为水行政主管部门开展水土保持监督执法和管理工作提供有力支撑。</w:t>
      </w:r>
    </w:p>
    <w:p w14:paraId="204ADF83">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59" w:name="_Toc17554"/>
      <w:r>
        <w:rPr>
          <w:rFonts w:hint="default" w:ascii="楷体_GB2312" w:hAnsi="楷体_GB2312" w:eastAsia="楷体_GB2312" w:cs="楷体_GB2312"/>
          <w:b/>
          <w:bCs w:val="0"/>
          <w:snapToGrid w:val="0"/>
          <w:color w:val="auto"/>
          <w:kern w:val="2"/>
          <w:sz w:val="30"/>
          <w:szCs w:val="30"/>
          <w:lang w:val="en-US" w:eastAsia="zh-CN" w:bidi="ar-SA"/>
        </w:rPr>
        <w:t>（五）水土保持信息化</w:t>
      </w:r>
      <w:bookmarkEnd w:id="59"/>
    </w:p>
    <w:p w14:paraId="19BD3D9A">
      <w:pPr>
        <w:spacing w:line="360" w:lineRule="auto"/>
        <w:ind w:firstLine="560"/>
        <w:rPr>
          <w:rFonts w:hint="default" w:ascii="Times New Roman" w:hAnsi="Times New Roman" w:cs="Times New Roman"/>
          <w:bCs/>
          <w:color w:val="auto"/>
          <w:spacing w:val="6"/>
          <w:kern w:val="0"/>
          <w:sz w:val="28"/>
          <w:szCs w:val="28"/>
        </w:rPr>
      </w:pPr>
      <w:r>
        <w:rPr>
          <w:rFonts w:hint="default" w:ascii="Times New Roman" w:hAnsi="Times New Roman" w:cs="Times New Roman"/>
          <w:bCs/>
          <w:color w:val="auto"/>
          <w:spacing w:val="6"/>
          <w:kern w:val="0"/>
          <w:sz w:val="28"/>
          <w:szCs w:val="28"/>
        </w:rPr>
        <w:t>依托“贵州水利云”，</w:t>
      </w:r>
      <w:r>
        <w:rPr>
          <w:rFonts w:hint="default" w:ascii="Times New Roman" w:hAnsi="Times New Roman" w:cs="Times New Roman"/>
          <w:bCs/>
          <w:color w:val="auto"/>
          <w:spacing w:val="6"/>
          <w:kern w:val="0"/>
          <w:sz w:val="28"/>
          <w:szCs w:val="28"/>
          <w:lang w:val="en-US" w:eastAsia="zh-CN"/>
        </w:rPr>
        <w:t>我省</w:t>
      </w:r>
      <w:r>
        <w:rPr>
          <w:rFonts w:hint="default" w:ascii="Times New Roman" w:hAnsi="Times New Roman" w:cs="Times New Roman"/>
          <w:bCs/>
          <w:color w:val="auto"/>
          <w:spacing w:val="6"/>
          <w:kern w:val="0"/>
          <w:sz w:val="28"/>
          <w:szCs w:val="28"/>
        </w:rPr>
        <w:t>在全国率先</w:t>
      </w:r>
      <w:r>
        <w:rPr>
          <w:rFonts w:hint="default" w:ascii="Times New Roman" w:hAnsi="Times New Roman" w:cs="Times New Roman"/>
          <w:color w:val="auto"/>
          <w:spacing w:val="6"/>
          <w:kern w:val="0"/>
          <w:sz w:val="28"/>
          <w:szCs w:val="28"/>
        </w:rPr>
        <w:t>建设“水土保持</w:t>
      </w:r>
      <w:bookmarkStart w:id="60" w:name="_Toc32881827"/>
      <w:r>
        <w:rPr>
          <w:rFonts w:hint="default" w:ascii="Times New Roman" w:hAnsi="Times New Roman" w:cs="Times New Roman"/>
          <w:color w:val="auto"/>
          <w:spacing w:val="6"/>
          <w:kern w:val="0"/>
          <w:sz w:val="28"/>
          <w:szCs w:val="28"/>
        </w:rPr>
        <w:t>大数据”平台，</w:t>
      </w:r>
      <w:bookmarkEnd w:id="60"/>
      <w:r>
        <w:rPr>
          <w:rFonts w:hint="default" w:ascii="Times New Roman" w:hAnsi="Times New Roman" w:cs="Times New Roman"/>
          <w:bCs/>
          <w:color w:val="auto"/>
          <w:spacing w:val="6"/>
          <w:kern w:val="0"/>
          <w:sz w:val="28"/>
          <w:szCs w:val="28"/>
        </w:rPr>
        <w:t>将生产建设项目水土保持方案信息和国家水土保持重点治理工程等数据资源整合入库，</w:t>
      </w:r>
      <w:r>
        <w:rPr>
          <w:rFonts w:hint="default" w:ascii="Times New Roman" w:hAnsi="Times New Roman" w:cs="Times New Roman"/>
          <w:color w:val="auto"/>
          <w:spacing w:val="6"/>
          <w:kern w:val="0"/>
          <w:sz w:val="28"/>
          <w:szCs w:val="28"/>
        </w:rPr>
        <w:t>实现了“水土保持一张图”应用展示</w:t>
      </w:r>
      <w:r>
        <w:rPr>
          <w:rFonts w:hint="default" w:ascii="Times New Roman" w:hAnsi="Times New Roman" w:cs="Times New Roman"/>
          <w:bCs/>
          <w:color w:val="auto"/>
          <w:spacing w:val="6"/>
          <w:kern w:val="0"/>
          <w:sz w:val="28"/>
          <w:szCs w:val="28"/>
        </w:rPr>
        <w:t>。2018年实现了全省“天地一体化”监</w:t>
      </w:r>
      <w:bookmarkStart w:id="61" w:name="_Toc32881828"/>
      <w:r>
        <w:rPr>
          <w:rFonts w:hint="default" w:ascii="Times New Roman" w:hAnsi="Times New Roman" w:cs="Times New Roman"/>
          <w:bCs/>
          <w:color w:val="auto"/>
          <w:spacing w:val="6"/>
          <w:kern w:val="0"/>
          <w:sz w:val="28"/>
          <w:szCs w:val="28"/>
        </w:rPr>
        <w:t>管全覆盖。2019-202</w:t>
      </w:r>
      <w:bookmarkEnd w:id="61"/>
      <w:r>
        <w:rPr>
          <w:rFonts w:hint="default" w:ascii="Times New Roman" w:hAnsi="Times New Roman" w:cs="Times New Roman"/>
          <w:bCs/>
          <w:color w:val="auto"/>
          <w:spacing w:val="6"/>
          <w:kern w:val="0"/>
          <w:sz w:val="28"/>
          <w:szCs w:val="28"/>
        </w:rPr>
        <w:t>0年，在水利部开展遥感监管的基础上，完成两期加密监管全覆盖，共监管扰动图斑3.5万个，现场核查扰动图斑1.8万个，发现疑似违法违规项目9000余个。水土保持“天地一体化”监管及应用系统被列为全国2020年10个智慧水利优秀应用案例示范项目之一，纳入2020年度水利先进实用技术重点推广指导目录。</w:t>
      </w:r>
    </w:p>
    <w:p w14:paraId="7264821B">
      <w:pPr>
        <w:spacing w:line="360" w:lineRule="auto"/>
        <w:ind w:firstLine="560"/>
        <w:rPr>
          <w:rFonts w:hint="default" w:ascii="Times New Roman" w:hAnsi="Times New Roman" w:cs="Times New Roman"/>
          <w:color w:val="auto"/>
          <w:lang w:val="en-US" w:eastAsia="zh-CN"/>
        </w:rPr>
      </w:pPr>
      <w:r>
        <w:rPr>
          <w:rFonts w:hint="default" w:ascii="Times New Roman" w:hAnsi="Times New Roman" w:cs="Times New Roman"/>
          <w:color w:val="auto"/>
          <w:kern w:val="0"/>
          <w:sz w:val="28"/>
          <w:szCs w:val="28"/>
          <w:lang w:val="en-US" w:eastAsia="zh-CN"/>
        </w:rPr>
        <w:t>省水利厅对</w:t>
      </w:r>
      <w:r>
        <w:rPr>
          <w:rFonts w:hint="default" w:ascii="Times New Roman" w:hAnsi="Times New Roman" w:cs="Times New Roman"/>
          <w:color w:val="auto"/>
          <w:sz w:val="28"/>
          <w:szCs w:val="28"/>
        </w:rPr>
        <w:t>石</w:t>
      </w:r>
      <w:bookmarkStart w:id="62" w:name="_Toc32881829"/>
      <w:r>
        <w:rPr>
          <w:rFonts w:hint="default" w:ascii="Times New Roman" w:hAnsi="Times New Roman" w:cs="Times New Roman"/>
          <w:color w:val="auto"/>
          <w:sz w:val="28"/>
          <w:szCs w:val="28"/>
        </w:rPr>
        <w:t>阡县</w:t>
      </w:r>
      <w:bookmarkEnd w:id="62"/>
      <w:r>
        <w:rPr>
          <w:rFonts w:hint="default" w:ascii="Times New Roman" w:hAnsi="Times New Roman" w:cs="Times New Roman"/>
          <w:color w:val="auto"/>
          <w:sz w:val="28"/>
          <w:szCs w:val="28"/>
        </w:rPr>
        <w:t>、务川县、贞丰县等277个水土保持重点工程（120个在建项目、157个竣工项目）开展了信息化监管工作，抽取</w:t>
      </w:r>
      <w:r>
        <w:rPr>
          <w:rFonts w:hint="default" w:ascii="Times New Roman" w:hAnsi="Times New Roman" w:cs="Times New Roman"/>
          <w:color w:val="auto"/>
          <w:sz w:val="28"/>
          <w:szCs w:val="28"/>
          <w:lang w:val="en-US" w:eastAsia="zh-CN"/>
        </w:rPr>
        <w:t>8</w:t>
      </w:r>
      <w:r>
        <w:rPr>
          <w:rFonts w:hint="default" w:ascii="Times New Roman" w:hAnsi="Times New Roman" w:cs="Times New Roman"/>
          <w:color w:val="auto"/>
          <w:sz w:val="28"/>
          <w:szCs w:val="28"/>
        </w:rPr>
        <w:t>个竣工项目开展治理效果评估</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结果显示</w:t>
      </w:r>
      <w:r>
        <w:rPr>
          <w:rFonts w:hint="default" w:ascii="Times New Roman" w:hAnsi="Times New Roman" w:cs="Times New Roman"/>
          <w:color w:val="auto"/>
          <w:sz w:val="28"/>
          <w:szCs w:val="28"/>
        </w:rPr>
        <w:t>水土流失综合治理措施总体布局基本合理，质量合格，水土流失治理效果明显</w:t>
      </w:r>
      <w:r>
        <w:rPr>
          <w:rFonts w:hint="default" w:ascii="Times New Roman" w:hAnsi="Times New Roman" w:cs="Times New Roman"/>
          <w:color w:val="auto"/>
          <w:spacing w:val="6"/>
          <w:kern w:val="0"/>
          <w:sz w:val="28"/>
          <w:szCs w:val="28"/>
        </w:rPr>
        <w:t>。</w:t>
      </w:r>
    </w:p>
    <w:p w14:paraId="62BC69A6">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63" w:name="_Toc9929"/>
      <w:r>
        <w:rPr>
          <w:rFonts w:hint="default" w:ascii="楷体_GB2312" w:hAnsi="楷体_GB2312" w:eastAsia="楷体_GB2312" w:cs="楷体_GB2312"/>
          <w:b/>
          <w:bCs w:val="0"/>
          <w:snapToGrid w:val="0"/>
          <w:color w:val="auto"/>
          <w:kern w:val="2"/>
          <w:sz w:val="30"/>
          <w:szCs w:val="30"/>
          <w:lang w:val="en-US" w:eastAsia="zh-CN" w:bidi="ar-SA"/>
        </w:rPr>
        <w:t>（六）水土保持科技示范与宣传</w:t>
      </w:r>
      <w:bookmarkEnd w:id="63"/>
    </w:p>
    <w:p w14:paraId="25A59BF3">
      <w:pPr>
        <w:numPr>
          <w:ilvl w:val="0"/>
          <w:numId w:val="0"/>
        </w:numPr>
        <w:spacing w:line="360" w:lineRule="auto"/>
        <w:ind w:firstLine="560" w:firstLineChars="200"/>
        <w:rPr>
          <w:rFonts w:hint="default" w:ascii="Times New Roman" w:hAnsi="Times New Roman" w:cs="Times New Roman"/>
          <w:color w:val="auto"/>
          <w:lang w:val="en-US" w:eastAsia="zh-CN"/>
        </w:rPr>
      </w:pPr>
      <w:r>
        <w:rPr>
          <w:rFonts w:hint="default" w:ascii="Times New Roman" w:hAnsi="Times New Roman" w:cs="Times New Roman"/>
          <w:color w:val="auto"/>
          <w:sz w:val="28"/>
          <w:szCs w:val="28"/>
        </w:rPr>
        <w:t>贵州省水土保持监测站、贵州省水土保持科技示范园管理处与中科院、北京林业大学、</w:t>
      </w:r>
      <w:bookmarkStart w:id="64" w:name="_Toc32881830"/>
      <w:r>
        <w:rPr>
          <w:rFonts w:hint="default" w:ascii="Times New Roman" w:hAnsi="Times New Roman" w:cs="Times New Roman"/>
          <w:color w:val="auto"/>
          <w:sz w:val="28"/>
          <w:szCs w:val="28"/>
        </w:rPr>
        <w:t>贵州大学等</w:t>
      </w:r>
      <w:bookmarkEnd w:id="64"/>
      <w:r>
        <w:rPr>
          <w:rFonts w:hint="default" w:ascii="Times New Roman" w:hAnsi="Times New Roman" w:cs="Times New Roman"/>
          <w:color w:val="auto"/>
          <w:sz w:val="28"/>
          <w:szCs w:val="28"/>
        </w:rPr>
        <w:t>院</w:t>
      </w:r>
      <w:bookmarkStart w:id="65" w:name="_Toc32881831"/>
      <w:r>
        <w:rPr>
          <w:rFonts w:hint="default" w:ascii="Times New Roman" w:hAnsi="Times New Roman" w:cs="Times New Roman"/>
          <w:color w:val="auto"/>
          <w:sz w:val="28"/>
          <w:szCs w:val="28"/>
        </w:rPr>
        <w:t>校和科研单位</w:t>
      </w:r>
      <w:r>
        <w:rPr>
          <w:rFonts w:hint="default" w:ascii="Times New Roman" w:hAnsi="Times New Roman" w:cs="Times New Roman"/>
          <w:color w:val="auto"/>
          <w:sz w:val="28"/>
          <w:szCs w:val="28"/>
          <w:lang w:val="en-US" w:eastAsia="zh-CN"/>
        </w:rPr>
        <w:t>合作，</w:t>
      </w:r>
      <w:r>
        <w:rPr>
          <w:rFonts w:hint="default" w:ascii="Times New Roman" w:hAnsi="Times New Roman" w:cs="Times New Roman"/>
          <w:color w:val="auto"/>
          <w:sz w:val="28"/>
          <w:szCs w:val="28"/>
        </w:rPr>
        <w:t>积极开展</w:t>
      </w:r>
      <w:bookmarkEnd w:id="65"/>
      <w:r>
        <w:rPr>
          <w:rFonts w:hint="default" w:ascii="Times New Roman" w:hAnsi="Times New Roman" w:cs="Times New Roman"/>
          <w:color w:val="auto"/>
          <w:sz w:val="28"/>
          <w:szCs w:val="28"/>
          <w:lang w:val="en-US" w:eastAsia="zh-CN"/>
        </w:rPr>
        <w:t>水土保持科学</w:t>
      </w:r>
      <w:r>
        <w:rPr>
          <w:rFonts w:hint="default" w:ascii="Times New Roman" w:hAnsi="Times New Roman" w:cs="Times New Roman"/>
          <w:color w:val="auto"/>
          <w:sz w:val="28"/>
          <w:szCs w:val="28"/>
        </w:rPr>
        <w:t>研究，先后荣获中国水土保持学会二、三等奖</w:t>
      </w:r>
      <w:r>
        <w:rPr>
          <w:rFonts w:hint="default" w:ascii="Times New Roman" w:hAnsi="Times New Roman" w:cs="Times New Roman"/>
          <w:color w:val="auto"/>
          <w:sz w:val="28"/>
          <w:szCs w:val="28"/>
          <w:lang w:val="en-US" w:eastAsia="zh-CN"/>
        </w:rPr>
        <w:t>各</w:t>
      </w:r>
      <w:r>
        <w:rPr>
          <w:rFonts w:hint="default" w:ascii="Times New Roman" w:hAnsi="Times New Roman" w:cs="Times New Roman"/>
          <w:color w:val="auto"/>
          <w:sz w:val="28"/>
          <w:szCs w:val="28"/>
        </w:rPr>
        <w:t>一次。</w:t>
      </w:r>
      <w:r>
        <w:rPr>
          <w:rFonts w:hint="default" w:ascii="Times New Roman" w:hAnsi="Times New Roman" w:cs="Times New Roman"/>
          <w:color w:val="auto"/>
          <w:sz w:val="28"/>
          <w:szCs w:val="28"/>
          <w:lang w:val="en-US" w:eastAsia="zh-CN"/>
        </w:rPr>
        <w:t>贵州省龙里水土保持科技示范园、贵定县雪芽茶叶水土保持科技示范园和普定县喀斯特漠化区水土保持科技示范园，每年接待参观学习人数约7420人次，助力扶贫攻坚和乡村振兴战略，培育地方农特产</w:t>
      </w:r>
      <w:r>
        <w:rPr>
          <w:rFonts w:hint="eastAsia" w:ascii="Times New Roman" w:hAnsi="Times New Roman" w:cs="Times New Roman"/>
          <w:color w:val="auto"/>
          <w:sz w:val="28"/>
          <w:szCs w:val="28"/>
          <w:lang w:val="en-US" w:eastAsia="zh-CN"/>
        </w:rPr>
        <w:t>品</w:t>
      </w:r>
      <w:r>
        <w:rPr>
          <w:rFonts w:hint="default" w:ascii="Times New Roman" w:hAnsi="Times New Roman" w:cs="Times New Roman"/>
          <w:color w:val="auto"/>
          <w:sz w:val="28"/>
          <w:szCs w:val="28"/>
          <w:lang w:val="en-US" w:eastAsia="zh-CN"/>
        </w:rPr>
        <w:t>，发展优势产业，吸引8515人群众就地务工。</w:t>
      </w:r>
    </w:p>
    <w:p w14:paraId="4FBFAD21">
      <w:pPr>
        <w:ind w:firstLine="584" w:firstLineChars="200"/>
        <w:rPr>
          <w:rFonts w:hint="default" w:ascii="Times New Roman" w:hAnsi="Times New Roman" w:cs="Times New Roman"/>
          <w:color w:val="auto"/>
          <w:spacing w:val="6"/>
          <w:kern w:val="0"/>
          <w:sz w:val="28"/>
          <w:szCs w:val="28"/>
        </w:rPr>
      </w:pPr>
      <w:r>
        <w:rPr>
          <w:rFonts w:hint="default" w:ascii="Times New Roman" w:hAnsi="Times New Roman" w:cs="Times New Roman"/>
          <w:color w:val="auto"/>
          <w:spacing w:val="6"/>
          <w:kern w:val="0"/>
          <w:sz w:val="28"/>
          <w:szCs w:val="28"/>
          <w:lang w:val="en-US" w:eastAsia="zh-CN"/>
        </w:rPr>
        <w:t>省水利厅积极与</w:t>
      </w:r>
      <w:r>
        <w:rPr>
          <w:rFonts w:hint="default" w:ascii="Times New Roman" w:hAnsi="Times New Roman" w:cs="Times New Roman"/>
          <w:color w:val="auto"/>
          <w:spacing w:val="6"/>
          <w:kern w:val="0"/>
          <w:sz w:val="28"/>
          <w:szCs w:val="28"/>
        </w:rPr>
        <w:t>贵州电视台、当代先锋网等</w:t>
      </w:r>
      <w:r>
        <w:rPr>
          <w:rFonts w:hint="default" w:ascii="Times New Roman" w:hAnsi="Times New Roman" w:cs="Times New Roman"/>
          <w:color w:val="auto"/>
          <w:spacing w:val="6"/>
          <w:kern w:val="0"/>
          <w:sz w:val="28"/>
          <w:szCs w:val="28"/>
          <w:lang w:val="en-US" w:eastAsia="zh-CN"/>
        </w:rPr>
        <w:t>新闻媒体合作，</w:t>
      </w:r>
      <w:r>
        <w:rPr>
          <w:rFonts w:hint="default" w:ascii="Times New Roman" w:hAnsi="Times New Roman" w:cs="Times New Roman"/>
          <w:color w:val="auto"/>
          <w:spacing w:val="6"/>
          <w:kern w:val="0"/>
          <w:sz w:val="28"/>
          <w:szCs w:val="28"/>
        </w:rPr>
        <w:t>先后出版《山谷吹来世行风》、《绿水青山--贵州水土保持掠影》、《水保惠民、砥砺奋进》等专著，制作《水土保持--贵州生态文明建设的重要保障》等电视专题片，电视报道</w:t>
      </w:r>
      <w:r>
        <w:rPr>
          <w:rFonts w:hint="default" w:ascii="Times New Roman" w:hAnsi="Times New Roman" w:cs="Times New Roman"/>
          <w:color w:val="auto"/>
          <w:spacing w:val="6"/>
          <w:kern w:val="0"/>
          <w:sz w:val="28"/>
          <w:szCs w:val="28"/>
          <w:lang w:val="en-US" w:eastAsia="zh-CN"/>
        </w:rPr>
        <w:t>42</w:t>
      </w:r>
      <w:r>
        <w:rPr>
          <w:rFonts w:hint="default" w:ascii="Times New Roman" w:hAnsi="Times New Roman" w:cs="Times New Roman"/>
          <w:color w:val="auto"/>
          <w:spacing w:val="6"/>
          <w:kern w:val="0"/>
          <w:sz w:val="28"/>
          <w:szCs w:val="28"/>
        </w:rPr>
        <w:t>条，新闻媒体报道110条</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color w:val="auto"/>
          <w:spacing w:val="6"/>
          <w:kern w:val="0"/>
          <w:sz w:val="28"/>
          <w:szCs w:val="28"/>
        </w:rPr>
        <w:t>多次组织专家对交通、风电等行业举办水土保持专题讲座，变“我要宣传”为“要我宣传”</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color w:val="auto"/>
          <w:spacing w:val="6"/>
          <w:kern w:val="0"/>
          <w:sz w:val="28"/>
          <w:szCs w:val="28"/>
        </w:rPr>
        <w:t>加强科技示范和中小学水土保持教育社会实践，推动水土保持国策宣传教育进党校进学校进大讲堂</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color w:val="auto"/>
          <w:spacing w:val="6"/>
          <w:kern w:val="0"/>
          <w:sz w:val="28"/>
          <w:szCs w:val="28"/>
        </w:rPr>
        <w:t>取得了很好的宣传效果。</w:t>
      </w:r>
    </w:p>
    <w:p w14:paraId="3A89AA40">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66" w:name="_Toc16288"/>
      <w:r>
        <w:rPr>
          <w:rFonts w:hint="default" w:ascii="楷体_GB2312" w:hAnsi="楷体_GB2312" w:eastAsia="楷体_GB2312" w:cs="楷体_GB2312"/>
          <w:b/>
          <w:bCs w:val="0"/>
          <w:snapToGrid w:val="0"/>
          <w:color w:val="auto"/>
          <w:kern w:val="2"/>
          <w:sz w:val="30"/>
          <w:szCs w:val="30"/>
          <w:lang w:val="en-US" w:eastAsia="zh-CN" w:bidi="ar-SA"/>
        </w:rPr>
        <w:t>（七）水土保持目标责任考核</w:t>
      </w:r>
      <w:bookmarkEnd w:id="66"/>
    </w:p>
    <w:p w14:paraId="47E69F96">
      <w:pPr>
        <w:numPr>
          <w:ilvl w:val="0"/>
          <w:numId w:val="0"/>
        </w:numPr>
        <w:spacing w:line="360" w:lineRule="auto"/>
        <w:ind w:firstLine="584" w:firstLineChars="200"/>
        <w:rPr>
          <w:rFonts w:hint="default" w:ascii="Times New Roman" w:hAnsi="Times New Roman" w:cs="Times New Roman"/>
          <w:color w:val="auto"/>
          <w:spacing w:val="6"/>
          <w:kern w:val="0"/>
          <w:sz w:val="28"/>
          <w:szCs w:val="28"/>
        </w:rPr>
      </w:pPr>
      <w:r>
        <w:rPr>
          <w:rFonts w:hint="default" w:ascii="Times New Roman" w:hAnsi="Times New Roman" w:cs="Times New Roman"/>
          <w:color w:val="auto"/>
          <w:spacing w:val="6"/>
          <w:kern w:val="0"/>
          <w:sz w:val="28"/>
          <w:szCs w:val="28"/>
        </w:rPr>
        <w:t>省水利厅会同发改、财政、自然资源、农业农村、林业、生态环境、交通、能源、工信、住建等部门完成了</w:t>
      </w:r>
      <w:r>
        <w:rPr>
          <w:rFonts w:hint="default" w:ascii="Times New Roman" w:hAnsi="Times New Roman" w:cs="Times New Roman"/>
          <w:color w:val="auto"/>
          <w:spacing w:val="6"/>
          <w:kern w:val="0"/>
          <w:sz w:val="28"/>
          <w:szCs w:val="28"/>
          <w:lang w:val="en-US" w:eastAsia="zh-CN"/>
        </w:rPr>
        <w:t>全</w:t>
      </w:r>
      <w:r>
        <w:rPr>
          <w:rFonts w:hint="default" w:ascii="Times New Roman" w:hAnsi="Times New Roman" w:cs="Times New Roman"/>
          <w:color w:val="auto"/>
          <w:spacing w:val="6"/>
          <w:kern w:val="0"/>
          <w:sz w:val="28"/>
          <w:szCs w:val="28"/>
        </w:rPr>
        <w:t>省</w:t>
      </w:r>
      <w:r>
        <w:rPr>
          <w:rFonts w:hint="default" w:ascii="Times New Roman" w:hAnsi="Times New Roman" w:cs="Times New Roman"/>
          <w:bCs/>
          <w:color w:val="auto"/>
          <w:spacing w:val="6"/>
          <w:kern w:val="0"/>
          <w:sz w:val="28"/>
          <w:szCs w:val="28"/>
        </w:rPr>
        <w:t>2018</w:t>
      </w:r>
      <w:r>
        <w:rPr>
          <w:rFonts w:hint="default" w:ascii="Times New Roman" w:hAnsi="Times New Roman" w:cs="Times New Roman"/>
          <w:bCs/>
          <w:color w:val="auto"/>
          <w:spacing w:val="6"/>
          <w:kern w:val="0"/>
          <w:sz w:val="28"/>
          <w:szCs w:val="28"/>
          <w:lang w:val="en-US" w:eastAsia="zh-CN"/>
        </w:rPr>
        <w:t>~</w:t>
      </w:r>
      <w:r>
        <w:rPr>
          <w:rFonts w:hint="default" w:ascii="Times New Roman" w:hAnsi="Times New Roman" w:cs="Times New Roman"/>
          <w:bCs/>
          <w:color w:val="auto"/>
          <w:spacing w:val="6"/>
          <w:kern w:val="0"/>
          <w:sz w:val="28"/>
          <w:szCs w:val="28"/>
        </w:rPr>
        <w:t>2020年</w:t>
      </w:r>
      <w:r>
        <w:rPr>
          <w:rFonts w:hint="default" w:ascii="Times New Roman" w:hAnsi="Times New Roman" w:cs="Times New Roman"/>
          <w:bCs/>
          <w:color w:val="auto"/>
          <w:spacing w:val="6"/>
          <w:kern w:val="0"/>
          <w:sz w:val="28"/>
          <w:szCs w:val="28"/>
          <w:lang w:val="en-US" w:eastAsia="zh-CN"/>
        </w:rPr>
        <w:t>度</w:t>
      </w:r>
      <w:r>
        <w:rPr>
          <w:rFonts w:hint="default" w:ascii="Times New Roman" w:hAnsi="Times New Roman" w:cs="Times New Roman"/>
          <w:color w:val="auto"/>
          <w:spacing w:val="6"/>
          <w:kern w:val="0"/>
          <w:sz w:val="28"/>
          <w:szCs w:val="28"/>
        </w:rPr>
        <w:t>水土保持规划实施情况</w:t>
      </w:r>
      <w:r>
        <w:rPr>
          <w:rFonts w:hint="default" w:ascii="Times New Roman" w:hAnsi="Times New Roman" w:cs="Times New Roman"/>
          <w:bCs/>
          <w:color w:val="auto"/>
          <w:spacing w:val="6"/>
          <w:kern w:val="0"/>
          <w:sz w:val="28"/>
          <w:szCs w:val="28"/>
        </w:rPr>
        <w:t>评估工作，均被评为优秀等次。</w:t>
      </w:r>
      <w:bookmarkStart w:id="67" w:name="_Toc32881837"/>
      <w:r>
        <w:rPr>
          <w:rFonts w:hint="default" w:ascii="Times New Roman" w:hAnsi="Times New Roman" w:cs="Times New Roman"/>
          <w:color w:val="auto"/>
          <w:spacing w:val="6"/>
          <w:kern w:val="0"/>
          <w:sz w:val="28"/>
          <w:szCs w:val="28"/>
        </w:rPr>
        <w:t>完成了2018</w:t>
      </w:r>
      <w:r>
        <w:rPr>
          <w:rFonts w:hint="default" w:ascii="Times New Roman" w:hAnsi="Times New Roman" w:cs="Times New Roman"/>
          <w:color w:val="auto"/>
          <w:spacing w:val="6"/>
          <w:kern w:val="0"/>
          <w:sz w:val="28"/>
          <w:szCs w:val="28"/>
          <w:lang w:val="en-US" w:eastAsia="zh-CN"/>
        </w:rPr>
        <w:t>~</w:t>
      </w:r>
      <w:r>
        <w:rPr>
          <w:rFonts w:hint="default" w:ascii="Times New Roman" w:hAnsi="Times New Roman" w:cs="Times New Roman"/>
          <w:color w:val="auto"/>
          <w:spacing w:val="6"/>
          <w:kern w:val="0"/>
          <w:sz w:val="28"/>
          <w:szCs w:val="28"/>
        </w:rPr>
        <w:t>2020年全省9个市（州）人民政府水土保持目标责任落实情况的考核</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color w:val="auto"/>
          <w:spacing w:val="6"/>
          <w:kern w:val="0"/>
          <w:sz w:val="28"/>
          <w:szCs w:val="28"/>
          <w:lang w:val="en-US" w:eastAsia="zh-CN"/>
        </w:rPr>
        <w:t>并将考核结果应用于政府目标责任考核和国家水土保持重点工程竞争立项</w:t>
      </w:r>
      <w:r>
        <w:rPr>
          <w:rFonts w:hint="default" w:ascii="Times New Roman" w:hAnsi="Times New Roman" w:cs="Times New Roman"/>
          <w:color w:val="auto"/>
          <w:spacing w:val="6"/>
          <w:kern w:val="0"/>
          <w:sz w:val="28"/>
          <w:szCs w:val="28"/>
        </w:rPr>
        <w:t>工作</w:t>
      </w:r>
      <w:r>
        <w:rPr>
          <w:rFonts w:hint="default" w:ascii="Times New Roman" w:hAnsi="Times New Roman" w:cs="Times New Roman"/>
          <w:color w:val="auto"/>
          <w:spacing w:val="6"/>
          <w:kern w:val="0"/>
          <w:sz w:val="28"/>
          <w:szCs w:val="28"/>
          <w:lang w:val="en-US" w:eastAsia="zh-CN"/>
        </w:rPr>
        <w:t>中。</w:t>
      </w:r>
      <w:r>
        <w:rPr>
          <w:rFonts w:hint="default" w:ascii="Times New Roman" w:hAnsi="Times New Roman" w:cs="Times New Roman"/>
          <w:color w:val="auto"/>
          <w:spacing w:val="6"/>
          <w:kern w:val="0"/>
          <w:sz w:val="28"/>
          <w:szCs w:val="28"/>
        </w:rPr>
        <w:t>2016年、2017年省水利厅完成了</w:t>
      </w:r>
      <w:bookmarkEnd w:id="67"/>
      <w:r>
        <w:rPr>
          <w:rFonts w:hint="default" w:ascii="Times New Roman" w:hAnsi="Times New Roman" w:cs="Times New Roman"/>
          <w:color w:val="auto"/>
          <w:spacing w:val="6"/>
          <w:kern w:val="0"/>
          <w:sz w:val="28"/>
          <w:szCs w:val="28"/>
        </w:rPr>
        <w:t>对各市（州）水务局的考核工作，</w:t>
      </w:r>
      <w:r>
        <w:rPr>
          <w:rFonts w:hint="default" w:ascii="Times New Roman" w:hAnsi="Times New Roman" w:cs="Times New Roman"/>
          <w:bCs/>
          <w:color w:val="auto"/>
          <w:spacing w:val="6"/>
          <w:kern w:val="0"/>
          <w:sz w:val="28"/>
          <w:szCs w:val="28"/>
        </w:rPr>
        <w:t>夯实</w:t>
      </w:r>
      <w:r>
        <w:rPr>
          <w:rFonts w:hint="default" w:ascii="Times New Roman" w:hAnsi="Times New Roman" w:cs="Times New Roman"/>
          <w:color w:val="auto"/>
          <w:spacing w:val="6"/>
          <w:kern w:val="0"/>
          <w:sz w:val="28"/>
          <w:szCs w:val="28"/>
        </w:rPr>
        <w:t>各级水行政主管部门水土保持的主体责任</w:t>
      </w:r>
      <w:r>
        <w:rPr>
          <w:rFonts w:hint="default" w:ascii="Times New Roman" w:hAnsi="Times New Roman" w:cs="Times New Roman"/>
          <w:color w:val="auto"/>
          <w:spacing w:val="6"/>
          <w:kern w:val="0"/>
          <w:sz w:val="28"/>
          <w:szCs w:val="28"/>
          <w:lang w:eastAsia="zh-CN"/>
        </w:rPr>
        <w:t>。</w:t>
      </w:r>
      <w:r>
        <w:rPr>
          <w:rFonts w:hint="default" w:ascii="Times New Roman" w:hAnsi="Times New Roman" w:cs="Times New Roman"/>
          <w:color w:val="auto"/>
          <w:spacing w:val="6"/>
          <w:kern w:val="0"/>
          <w:sz w:val="28"/>
          <w:szCs w:val="28"/>
          <w:lang w:val="en-US" w:eastAsia="zh-CN"/>
        </w:rPr>
        <w:t>各</w:t>
      </w:r>
      <w:r>
        <w:rPr>
          <w:rFonts w:hint="default" w:ascii="Times New Roman" w:hAnsi="Times New Roman" w:cs="Times New Roman"/>
          <w:color w:val="auto"/>
          <w:spacing w:val="6"/>
          <w:kern w:val="0"/>
          <w:sz w:val="28"/>
          <w:szCs w:val="28"/>
        </w:rPr>
        <w:t>市（州）</w:t>
      </w:r>
      <w:bookmarkStart w:id="68" w:name="_Toc32881838"/>
      <w:r>
        <w:rPr>
          <w:rFonts w:hint="default" w:ascii="Times New Roman" w:hAnsi="Times New Roman" w:cs="Times New Roman"/>
          <w:color w:val="auto"/>
          <w:spacing w:val="6"/>
          <w:kern w:val="0"/>
          <w:sz w:val="28"/>
          <w:szCs w:val="28"/>
          <w:lang w:val="en-US" w:eastAsia="zh-CN"/>
        </w:rPr>
        <w:t>也</w:t>
      </w:r>
      <w:r>
        <w:rPr>
          <w:rFonts w:hint="default" w:ascii="Times New Roman" w:hAnsi="Times New Roman" w:cs="Times New Roman"/>
          <w:color w:val="auto"/>
          <w:spacing w:val="6"/>
          <w:kern w:val="0"/>
          <w:sz w:val="28"/>
          <w:szCs w:val="28"/>
        </w:rPr>
        <w:t>制定</w:t>
      </w:r>
      <w:r>
        <w:rPr>
          <w:rFonts w:hint="default" w:ascii="Times New Roman" w:hAnsi="Times New Roman" w:cs="Times New Roman"/>
          <w:color w:val="auto"/>
          <w:spacing w:val="6"/>
          <w:kern w:val="0"/>
          <w:sz w:val="28"/>
          <w:szCs w:val="28"/>
          <w:lang w:val="en-US" w:eastAsia="zh-CN"/>
        </w:rPr>
        <w:t>相应的</w:t>
      </w:r>
      <w:r>
        <w:rPr>
          <w:rFonts w:hint="default" w:ascii="Times New Roman" w:hAnsi="Times New Roman" w:cs="Times New Roman"/>
          <w:color w:val="auto"/>
          <w:spacing w:val="6"/>
          <w:kern w:val="0"/>
          <w:sz w:val="28"/>
          <w:szCs w:val="28"/>
        </w:rPr>
        <w:t>考核办法，</w:t>
      </w:r>
      <w:r>
        <w:rPr>
          <w:rFonts w:hint="default" w:ascii="Times New Roman" w:hAnsi="Times New Roman" w:cs="Times New Roman"/>
          <w:color w:val="auto"/>
          <w:spacing w:val="6"/>
          <w:kern w:val="0"/>
          <w:sz w:val="28"/>
          <w:szCs w:val="28"/>
          <w:lang w:val="en-US" w:eastAsia="zh-CN"/>
        </w:rPr>
        <w:t>完成了</w:t>
      </w:r>
      <w:r>
        <w:rPr>
          <w:rFonts w:hint="default" w:ascii="Times New Roman" w:hAnsi="Times New Roman" w:cs="Times New Roman"/>
          <w:color w:val="auto"/>
          <w:spacing w:val="6"/>
          <w:kern w:val="0"/>
          <w:sz w:val="28"/>
          <w:szCs w:val="28"/>
        </w:rPr>
        <w:t>对县级人民政</w:t>
      </w:r>
      <w:bookmarkEnd w:id="68"/>
      <w:r>
        <w:rPr>
          <w:rFonts w:hint="default" w:ascii="Times New Roman" w:hAnsi="Times New Roman" w:cs="Times New Roman"/>
          <w:color w:val="auto"/>
          <w:spacing w:val="6"/>
          <w:kern w:val="0"/>
          <w:sz w:val="28"/>
          <w:szCs w:val="28"/>
        </w:rPr>
        <w:t>府、县级水务局</w:t>
      </w:r>
      <w:r>
        <w:rPr>
          <w:rFonts w:hint="default" w:ascii="Times New Roman" w:hAnsi="Times New Roman" w:cs="Times New Roman"/>
          <w:color w:val="auto"/>
          <w:spacing w:val="6"/>
          <w:kern w:val="0"/>
          <w:sz w:val="28"/>
          <w:szCs w:val="28"/>
          <w:lang w:val="en-US" w:eastAsia="zh-CN"/>
        </w:rPr>
        <w:t>的</w:t>
      </w:r>
      <w:r>
        <w:rPr>
          <w:rFonts w:hint="default" w:ascii="Times New Roman" w:hAnsi="Times New Roman" w:cs="Times New Roman"/>
          <w:color w:val="auto"/>
          <w:spacing w:val="6"/>
          <w:kern w:val="0"/>
          <w:sz w:val="28"/>
          <w:szCs w:val="28"/>
        </w:rPr>
        <w:t>考核。</w:t>
      </w:r>
    </w:p>
    <w:p w14:paraId="39A36295">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69" w:name="_Toc5908"/>
      <w:r>
        <w:rPr>
          <w:rFonts w:hint="default" w:ascii="楷体_GB2312" w:hAnsi="楷体_GB2312" w:eastAsia="楷体_GB2312" w:cs="楷体_GB2312"/>
          <w:b/>
          <w:bCs w:val="0"/>
          <w:snapToGrid w:val="0"/>
          <w:color w:val="auto"/>
          <w:kern w:val="2"/>
          <w:sz w:val="30"/>
          <w:szCs w:val="30"/>
          <w:lang w:val="en-US" w:eastAsia="zh-CN" w:bidi="ar-SA"/>
        </w:rPr>
        <w:t>（八）存在的问题</w:t>
      </w:r>
      <w:bookmarkEnd w:id="69"/>
    </w:p>
    <w:p w14:paraId="41331DCC">
      <w:pPr>
        <w:ind w:firstLine="560" w:firstLineChars="2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rPr>
        <w:t>一是</w:t>
      </w:r>
      <w:r>
        <w:rPr>
          <w:rFonts w:hint="default" w:ascii="Times New Roman" w:hAnsi="Times New Roman" w:cs="Times New Roman"/>
          <w:color w:val="auto"/>
          <w:sz w:val="28"/>
          <w:szCs w:val="28"/>
          <w:lang w:val="en-US" w:eastAsia="zh-CN"/>
        </w:rPr>
        <w:t>治理任务依然艰巨。目前，全省仍有水</w:t>
      </w:r>
      <w:r>
        <w:rPr>
          <w:rFonts w:hint="eastAsia" w:ascii="Times New Roman" w:hAnsi="Times New Roman" w:cs="Times New Roman"/>
          <w:color w:val="auto"/>
          <w:sz w:val="28"/>
          <w:szCs w:val="28"/>
          <w:lang w:val="en-US" w:eastAsia="zh-CN"/>
        </w:rPr>
        <w:t>土</w:t>
      </w:r>
      <w:r>
        <w:rPr>
          <w:rFonts w:hint="default" w:ascii="Times New Roman" w:hAnsi="Times New Roman" w:cs="Times New Roman"/>
          <w:color w:val="auto"/>
          <w:sz w:val="28"/>
          <w:szCs w:val="28"/>
          <w:lang w:val="en-US" w:eastAsia="zh-CN"/>
        </w:rPr>
        <w:t>流失面积</w:t>
      </w:r>
      <w:r>
        <w:rPr>
          <w:rFonts w:hint="default" w:ascii="Times New Roman" w:hAnsi="Times New Roman" w:cs="Times New Roman"/>
          <w:color w:val="auto"/>
          <w:sz w:val="28"/>
          <w:szCs w:val="28"/>
        </w:rPr>
        <w:t>47008平方公里，占土地总面积的26.68%，</w:t>
      </w:r>
      <w:r>
        <w:rPr>
          <w:rFonts w:hint="default" w:ascii="Times New Roman" w:hAnsi="Times New Roman" w:cs="Times New Roman"/>
          <w:color w:val="auto"/>
          <w:sz w:val="28"/>
          <w:szCs w:val="28"/>
          <w:lang w:val="en-US" w:eastAsia="zh-CN"/>
        </w:rPr>
        <w:t>坡耕地、疏幼林地、石漠化区域水土流失依然严重，</w:t>
      </w:r>
      <w:r>
        <w:rPr>
          <w:rFonts w:hint="default" w:ascii="Times New Roman" w:hAnsi="Times New Roman" w:cs="Times New Roman"/>
          <w:color w:val="auto"/>
          <w:sz w:val="28"/>
          <w:szCs w:val="28"/>
        </w:rPr>
        <w:t>其中5度以上坡耕地面积3479万亩，占水土流失面积的48.61%</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从水土流失变化及组</w:t>
      </w:r>
      <w:bookmarkStart w:id="312" w:name="_GoBack"/>
      <w:bookmarkEnd w:id="312"/>
      <w:r>
        <w:rPr>
          <w:rFonts w:hint="default" w:ascii="Times New Roman" w:hAnsi="Times New Roman" w:cs="Times New Roman"/>
          <w:color w:val="auto"/>
          <w:sz w:val="28"/>
          <w:szCs w:val="28"/>
          <w:lang w:val="en-US" w:eastAsia="zh-CN"/>
        </w:rPr>
        <w:t>成情况来看，治理难度小、工程见效快的水土流失地区已基本得到治理，现有的水土流失区域分布广而散，治理难度大，</w:t>
      </w:r>
      <w:r>
        <w:rPr>
          <w:rFonts w:hint="default" w:ascii="Times New Roman" w:hAnsi="Times New Roman" w:cs="Times New Roman"/>
          <w:color w:val="auto"/>
          <w:sz w:val="28"/>
          <w:szCs w:val="28"/>
        </w:rPr>
        <w:t>治理成本越来越高，现</w:t>
      </w:r>
      <w:r>
        <w:rPr>
          <w:rFonts w:hint="default" w:ascii="Times New Roman" w:hAnsi="Times New Roman" w:cs="Times New Roman"/>
          <w:color w:val="auto"/>
          <w:sz w:val="28"/>
          <w:szCs w:val="28"/>
          <w:lang w:val="en-US" w:eastAsia="zh-CN"/>
        </w:rPr>
        <w:t>行</w:t>
      </w:r>
      <w:r>
        <w:rPr>
          <w:rFonts w:hint="default" w:ascii="Times New Roman" w:hAnsi="Times New Roman" w:cs="Times New Roman"/>
          <w:color w:val="auto"/>
          <w:sz w:val="28"/>
          <w:szCs w:val="28"/>
        </w:rPr>
        <w:t>投资标准</w:t>
      </w:r>
      <w:r>
        <w:rPr>
          <w:rFonts w:hint="default" w:ascii="Times New Roman" w:hAnsi="Times New Roman" w:cs="Times New Roman"/>
          <w:color w:val="auto"/>
          <w:sz w:val="28"/>
          <w:szCs w:val="28"/>
          <w:lang w:val="en-US" w:eastAsia="zh-CN"/>
        </w:rPr>
        <w:t>偏低，</w:t>
      </w:r>
      <w:r>
        <w:rPr>
          <w:rFonts w:hint="default" w:ascii="Times New Roman" w:hAnsi="Times New Roman" w:cs="Times New Roman"/>
          <w:color w:val="auto"/>
          <w:sz w:val="28"/>
          <w:szCs w:val="28"/>
        </w:rPr>
        <w:t>不能</w:t>
      </w:r>
      <w:r>
        <w:rPr>
          <w:rFonts w:hint="default" w:ascii="Times New Roman" w:hAnsi="Times New Roman" w:cs="Times New Roman"/>
          <w:color w:val="auto"/>
          <w:sz w:val="28"/>
          <w:szCs w:val="28"/>
          <w:lang w:val="en-US" w:eastAsia="zh-CN"/>
        </w:rPr>
        <w:t>有效的稳固治理成果，水土保持生态效益未能高水平实现。</w:t>
      </w:r>
    </w:p>
    <w:p w14:paraId="39E267C8">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二</w:t>
      </w:r>
      <w:r>
        <w:rPr>
          <w:rFonts w:hint="default" w:ascii="Times New Roman" w:hAnsi="Times New Roman" w:cs="Times New Roman"/>
          <w:color w:val="auto"/>
          <w:sz w:val="28"/>
          <w:szCs w:val="28"/>
        </w:rPr>
        <w:t>是水土保持机制体制</w:t>
      </w:r>
      <w:r>
        <w:rPr>
          <w:rFonts w:hint="default" w:ascii="Times New Roman" w:hAnsi="Times New Roman" w:cs="Times New Roman"/>
          <w:color w:val="auto"/>
          <w:sz w:val="28"/>
          <w:szCs w:val="28"/>
          <w:lang w:val="en-US" w:eastAsia="zh-CN"/>
        </w:rPr>
        <w:t>需进一步完善和创新</w:t>
      </w:r>
      <w:r>
        <w:rPr>
          <w:rFonts w:hint="default" w:ascii="Times New Roman" w:hAnsi="Times New Roman" w:cs="Times New Roman"/>
          <w:color w:val="auto"/>
          <w:sz w:val="28"/>
          <w:szCs w:val="28"/>
        </w:rPr>
        <w:t>。</w:t>
      </w:r>
      <w:r>
        <w:rPr>
          <w:rFonts w:hint="default" w:ascii="Times New Roman" w:hAnsi="Times New Roman" w:cs="Times New Roman" w:eastAsiaTheme="minorEastAsia"/>
          <w:color w:val="auto"/>
          <w:kern w:val="2"/>
          <w:sz w:val="28"/>
          <w:szCs w:val="28"/>
          <w:lang w:val="en-US" w:eastAsia="zh-CN" w:bidi="ar-SA"/>
        </w:rPr>
        <w:t>水土保持率已纳入美丽中国评估体系</w:t>
      </w:r>
      <w:r>
        <w:rPr>
          <w:rFonts w:hint="default" w:ascii="Times New Roman" w:hAnsi="Times New Roman" w:cs="Times New Roman"/>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2025年</w:t>
      </w:r>
      <w:r>
        <w:rPr>
          <w:rFonts w:hint="default" w:ascii="Times New Roman" w:hAnsi="Times New Roman" w:cs="Times New Roman"/>
          <w:color w:val="auto"/>
          <w:kern w:val="2"/>
          <w:sz w:val="28"/>
          <w:szCs w:val="28"/>
          <w:lang w:val="en-US" w:eastAsia="zh-CN" w:bidi="ar-SA"/>
        </w:rPr>
        <w:t>我省要实现</w:t>
      </w:r>
      <w:r>
        <w:rPr>
          <w:rFonts w:hint="default" w:ascii="Times New Roman" w:hAnsi="Times New Roman" w:cs="Times New Roman" w:eastAsiaTheme="minorEastAsia"/>
          <w:color w:val="auto"/>
          <w:kern w:val="2"/>
          <w:sz w:val="28"/>
          <w:szCs w:val="28"/>
          <w:lang w:val="en-US" w:eastAsia="zh-CN" w:bidi="ar-SA"/>
        </w:rPr>
        <w:t>水土保持率75.05%</w:t>
      </w:r>
      <w:r>
        <w:rPr>
          <w:rFonts w:hint="default" w:ascii="Times New Roman" w:hAnsi="Times New Roman" w:cs="Times New Roman"/>
          <w:color w:val="auto"/>
          <w:kern w:val="2"/>
          <w:sz w:val="28"/>
          <w:szCs w:val="28"/>
          <w:lang w:val="en-US" w:eastAsia="zh-CN" w:bidi="ar-SA"/>
        </w:rPr>
        <w:t>的目标，就需要多部门、多领域的共同协作。当前，全省</w:t>
      </w:r>
      <w:r>
        <w:rPr>
          <w:rFonts w:hint="default" w:ascii="Times New Roman" w:hAnsi="Times New Roman" w:cs="Times New Roman" w:eastAsiaTheme="minorEastAsia"/>
          <w:color w:val="auto"/>
          <w:kern w:val="2"/>
          <w:sz w:val="28"/>
          <w:szCs w:val="28"/>
          <w:lang w:val="en-US" w:eastAsia="zh-CN" w:bidi="ar-SA"/>
        </w:rPr>
        <w:t>水土流失综合治理涉及水利、发展改革、农业农村、自然资源、林业等多个部门实施的生态</w:t>
      </w:r>
      <w:r>
        <w:rPr>
          <w:rFonts w:hint="default" w:ascii="Times New Roman" w:hAnsi="Times New Roman" w:cs="Times New Roman"/>
          <w:color w:val="auto"/>
          <w:kern w:val="2"/>
          <w:sz w:val="28"/>
          <w:szCs w:val="28"/>
          <w:lang w:val="en-US" w:eastAsia="zh-CN" w:bidi="ar-SA"/>
        </w:rPr>
        <w:t>修复工程，各类项目的建设管理方式、目标和水土流失治理模式、技术标准不尽统一，水土流失综合治理的效益未能充分发挥。政府领导、水利牵头、部门协作、社会参与的水土保持工作机制需进一步强化和完善。水</w:t>
      </w:r>
      <w:r>
        <w:rPr>
          <w:rFonts w:hint="default" w:ascii="Times New Roman" w:hAnsi="Times New Roman" w:cs="Times New Roman" w:eastAsiaTheme="minorEastAsia"/>
          <w:color w:val="auto"/>
          <w:kern w:val="2"/>
          <w:sz w:val="28"/>
          <w:szCs w:val="28"/>
          <w:lang w:val="en-US" w:eastAsia="zh-CN" w:bidi="ar-SA"/>
        </w:rPr>
        <w:t>土保持目标责任制度尚未有效落实，</w:t>
      </w:r>
      <w:r>
        <w:rPr>
          <w:rFonts w:hint="default" w:ascii="Times New Roman" w:hAnsi="Times New Roman" w:cs="Times New Roman"/>
          <w:color w:val="auto"/>
          <w:kern w:val="2"/>
          <w:sz w:val="28"/>
          <w:szCs w:val="28"/>
          <w:lang w:val="en-US" w:eastAsia="zh-CN" w:bidi="ar-SA"/>
        </w:rPr>
        <w:t>市</w:t>
      </w:r>
      <w:r>
        <w:rPr>
          <w:rFonts w:hint="default" w:ascii="Times New Roman" w:hAnsi="Times New Roman" w:cs="Times New Roman" w:eastAsiaTheme="minorEastAsia"/>
          <w:color w:val="auto"/>
          <w:kern w:val="2"/>
          <w:sz w:val="28"/>
          <w:szCs w:val="28"/>
          <w:lang w:val="en-US" w:eastAsia="zh-CN" w:bidi="ar-SA"/>
        </w:rPr>
        <w:t>县政府和相关行业主管部门推进水土流失治理和水土保持监管的责任需要进一步压实。</w:t>
      </w:r>
      <w:r>
        <w:rPr>
          <w:rFonts w:hint="default" w:ascii="Times New Roman" w:hAnsi="Times New Roman" w:cs="Times New Roman"/>
          <w:color w:val="auto"/>
          <w:sz w:val="28"/>
          <w:szCs w:val="28"/>
        </w:rPr>
        <w:t>“村民自建”</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“以奖代补、先建后补”</w:t>
      </w:r>
      <w:r>
        <w:rPr>
          <w:rFonts w:hint="default" w:ascii="Times New Roman" w:hAnsi="Times New Roman" w:cs="Times New Roman"/>
          <w:color w:val="auto"/>
          <w:sz w:val="28"/>
          <w:szCs w:val="28"/>
          <w:lang w:val="en-US" w:eastAsia="zh-CN"/>
        </w:rPr>
        <w:t>等工程建设管理模式应该得到相应政策的支持，</w:t>
      </w:r>
      <w:r>
        <w:rPr>
          <w:rFonts w:hint="eastAsia" w:ascii="Times New Roman" w:hAnsi="Times New Roman" w:cs="Times New Roman"/>
          <w:color w:val="auto"/>
          <w:sz w:val="28"/>
          <w:szCs w:val="28"/>
          <w:lang w:val="en-US" w:eastAsia="zh-CN"/>
        </w:rPr>
        <w:t>还需</w:t>
      </w:r>
      <w:r>
        <w:rPr>
          <w:rFonts w:hint="default" w:ascii="Times New Roman" w:hAnsi="Times New Roman" w:cs="Times New Roman"/>
          <w:color w:val="auto"/>
          <w:sz w:val="28"/>
          <w:szCs w:val="28"/>
          <w:lang w:val="en-US" w:eastAsia="zh-CN"/>
        </w:rPr>
        <w:t>进一步</w:t>
      </w:r>
      <w:r>
        <w:rPr>
          <w:rFonts w:hint="default" w:ascii="Times New Roman" w:hAnsi="Times New Roman" w:cs="Times New Roman"/>
          <w:color w:val="auto"/>
          <w:sz w:val="28"/>
          <w:szCs w:val="28"/>
        </w:rPr>
        <w:t>鼓励和引导社会力量以及水土流失区广大群众参与水土保持工程建设，发挥财政资金撬动作用，调动社会资本投入，加快推进水土流失治理步伐。</w:t>
      </w:r>
    </w:p>
    <w:p w14:paraId="6DA4DEBA">
      <w:pPr>
        <w:ind w:firstLine="560" w:firstLineChars="200"/>
        <w:rPr>
          <w:rFonts w:hint="default" w:ascii="Times New Roman" w:hAnsi="Times New Roman" w:cs="Times New Roman"/>
          <w:color w:val="auto"/>
        </w:rPr>
      </w:pPr>
      <w:r>
        <w:rPr>
          <w:rFonts w:hint="default" w:ascii="Times New Roman" w:hAnsi="Times New Roman" w:cs="Times New Roman"/>
          <w:color w:val="auto"/>
          <w:sz w:val="28"/>
          <w:szCs w:val="28"/>
          <w:lang w:val="en-US" w:eastAsia="zh-CN"/>
        </w:rPr>
        <w:t>三是人为水土流失防治和监管任务依然较重。在监管过程中，对部分</w:t>
      </w:r>
      <w:r>
        <w:rPr>
          <w:rFonts w:hint="default" w:ascii="Times New Roman" w:hAnsi="Times New Roman" w:cs="Times New Roman"/>
          <w:color w:val="auto"/>
          <w:sz w:val="28"/>
          <w:szCs w:val="28"/>
        </w:rPr>
        <w:t>生产建设项目</w:t>
      </w:r>
      <w:r>
        <w:rPr>
          <w:rFonts w:hint="default" w:ascii="Times New Roman" w:hAnsi="Times New Roman" w:cs="Times New Roman"/>
          <w:color w:val="auto"/>
          <w:sz w:val="28"/>
          <w:szCs w:val="28"/>
          <w:lang w:val="en-US" w:eastAsia="zh-CN"/>
        </w:rPr>
        <w:t>情况掌握不全面、不及时，水土保持设施“三同时”尚未全面有效落实，未批先建、未验先投、未履行水土保持变更手续的违法违规项目仍有出现。随着水土保持“放管服”的深入推进，部分地方人员不足、技术力量薄弱、设备欠缺等现象日显突出。水土保持监督检查信息化应用仍有待加强，全过程、全方位监管生产建设项目水土流失防治情况仍存在难度。监管中法律刚性体现不足，监督检查与行政综合执法联动机制不健全，尚未形成强监管的有效震慑，需要进一步通过开展专项行动、加大执法力度、建立诚信体系等，全面强化生产建设活动水土保持监管。</w:t>
      </w:r>
    </w:p>
    <w:p w14:paraId="42647BCC">
      <w:pPr>
        <w:spacing w:line="360" w:lineRule="auto"/>
        <w:ind w:firstLine="601"/>
        <w:rPr>
          <w:rFonts w:hint="default" w:ascii="Times New Roman" w:hAnsi="Times New Roman" w:cs="Times New Roman"/>
          <w:snapToGrid w:val="0"/>
          <w:color w:val="auto"/>
          <w:sz w:val="28"/>
          <w:szCs w:val="28"/>
          <w:lang w:eastAsia="zh-CN"/>
        </w:rPr>
      </w:pPr>
      <w:r>
        <w:rPr>
          <w:rFonts w:hint="default" w:ascii="Times New Roman" w:hAnsi="Times New Roman" w:cs="Times New Roman"/>
          <w:color w:val="auto"/>
          <w:sz w:val="28"/>
          <w:szCs w:val="28"/>
          <w:lang w:val="en-US" w:eastAsia="zh-CN"/>
        </w:rPr>
        <w:t>四是水土保持监测有待持续加强。全省水土保持监测站网密度及自动化监测能力还不够，监测预报和服务决策的能力相对薄弱。水土保持信息化</w:t>
      </w:r>
      <w:r>
        <w:rPr>
          <w:rFonts w:hint="default" w:ascii="Times New Roman" w:hAnsi="Times New Roman" w:cs="Times New Roman"/>
          <w:color w:val="auto"/>
          <w:sz w:val="28"/>
          <w:szCs w:val="28"/>
        </w:rPr>
        <w:t>程度</w:t>
      </w:r>
      <w:r>
        <w:rPr>
          <w:rFonts w:hint="default" w:ascii="Times New Roman" w:hAnsi="Times New Roman" w:cs="Times New Roman"/>
          <w:color w:val="auto"/>
          <w:sz w:val="28"/>
          <w:szCs w:val="28"/>
          <w:lang w:val="en-US" w:eastAsia="zh-CN"/>
        </w:rPr>
        <w:t>还需要进一步</w:t>
      </w:r>
      <w:r>
        <w:rPr>
          <w:rFonts w:hint="eastAsia" w:ascii="Times New Roman" w:hAnsi="Times New Roman" w:cs="Times New Roman"/>
          <w:color w:val="auto"/>
          <w:sz w:val="28"/>
          <w:szCs w:val="28"/>
          <w:lang w:val="en-US" w:eastAsia="zh-CN"/>
        </w:rPr>
        <w:t>提高</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水土流失动态监测、生产建设项目适时监管、重点治理工程“图斑精细化”管理等</w:t>
      </w:r>
      <w:r>
        <w:rPr>
          <w:rFonts w:hint="default" w:ascii="Times New Roman" w:hAnsi="Times New Roman" w:cs="Times New Roman"/>
          <w:color w:val="auto"/>
          <w:sz w:val="28"/>
          <w:szCs w:val="28"/>
          <w:lang w:val="en-US" w:eastAsia="zh-CN"/>
        </w:rPr>
        <w:t>还</w:t>
      </w:r>
      <w:r>
        <w:rPr>
          <w:rFonts w:hint="default" w:ascii="Times New Roman" w:hAnsi="Times New Roman" w:cs="Times New Roman"/>
          <w:color w:val="auto"/>
          <w:sz w:val="28"/>
          <w:szCs w:val="28"/>
        </w:rPr>
        <w:t>未能</w:t>
      </w:r>
      <w:r>
        <w:rPr>
          <w:rFonts w:hint="default" w:ascii="Times New Roman" w:hAnsi="Times New Roman" w:cs="Times New Roman"/>
          <w:color w:val="auto"/>
          <w:sz w:val="28"/>
          <w:szCs w:val="28"/>
          <w:lang w:val="en-US" w:eastAsia="zh-CN"/>
        </w:rPr>
        <w:t>完全</w:t>
      </w:r>
      <w:r>
        <w:rPr>
          <w:rFonts w:hint="default" w:ascii="Times New Roman" w:hAnsi="Times New Roman" w:cs="Times New Roman"/>
          <w:color w:val="auto"/>
          <w:sz w:val="28"/>
          <w:szCs w:val="28"/>
        </w:rPr>
        <w:t>实现“水保一张图”的局面。</w:t>
      </w:r>
      <w:r>
        <w:rPr>
          <w:rFonts w:hint="default" w:ascii="Times New Roman" w:hAnsi="Times New Roman" w:cs="Times New Roman"/>
          <w:color w:val="auto"/>
          <w:sz w:val="28"/>
          <w:szCs w:val="28"/>
          <w:lang w:val="en-US" w:eastAsia="zh-CN"/>
        </w:rPr>
        <w:t>部门间的数据和信息共享还不畅通，水土保持精细化管理与当前大数据、智能化发展要求尚有较大差距。信息化建设的</w:t>
      </w:r>
      <w:r>
        <w:rPr>
          <w:rFonts w:hint="default" w:ascii="Times New Roman" w:hAnsi="Times New Roman" w:cs="Times New Roman"/>
          <w:snapToGrid w:val="0"/>
          <w:color w:val="auto"/>
          <w:sz w:val="28"/>
          <w:szCs w:val="28"/>
        </w:rPr>
        <w:t>人才队伍和资金保障偏弱</w:t>
      </w:r>
      <w:r>
        <w:rPr>
          <w:rFonts w:hint="default" w:ascii="Times New Roman" w:hAnsi="Times New Roman" w:cs="Times New Roman"/>
          <w:snapToGrid w:val="0"/>
          <w:color w:val="auto"/>
          <w:sz w:val="28"/>
          <w:szCs w:val="28"/>
          <w:lang w:eastAsia="zh-CN"/>
        </w:rPr>
        <w:t>，</w:t>
      </w:r>
      <w:r>
        <w:rPr>
          <w:rFonts w:hint="default" w:ascii="Times New Roman" w:hAnsi="Times New Roman" w:cs="Times New Roman"/>
          <w:snapToGrid w:val="0"/>
          <w:color w:val="auto"/>
          <w:sz w:val="28"/>
          <w:szCs w:val="28"/>
          <w:lang w:val="en-US" w:eastAsia="zh-CN"/>
        </w:rPr>
        <w:t>一定程度</w:t>
      </w:r>
      <w:r>
        <w:rPr>
          <w:rFonts w:hint="default" w:ascii="Times New Roman" w:hAnsi="Times New Roman" w:cs="Times New Roman"/>
          <w:snapToGrid w:val="0"/>
          <w:color w:val="auto"/>
          <w:sz w:val="28"/>
          <w:szCs w:val="28"/>
        </w:rPr>
        <w:t>制约了水土保持信息化快速和持续发展</w:t>
      </w:r>
      <w:r>
        <w:rPr>
          <w:rFonts w:hint="default" w:ascii="Times New Roman" w:hAnsi="Times New Roman" w:cs="Times New Roman"/>
          <w:snapToGrid w:val="0"/>
          <w:color w:val="auto"/>
          <w:sz w:val="28"/>
          <w:szCs w:val="28"/>
          <w:lang w:eastAsia="zh-CN"/>
        </w:rPr>
        <w:t>。</w:t>
      </w:r>
    </w:p>
    <w:p w14:paraId="3F4D90CD">
      <w:pPr>
        <w:spacing w:line="36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五是水土保持科技创新和支撑能力不足。水土保持对碳达峰、碳中和的贡献、水土保持率</w:t>
      </w:r>
      <w:r>
        <w:rPr>
          <w:rFonts w:hint="default" w:ascii="Times New Roman" w:hAnsi="Times New Roman" w:cs="Times New Roman"/>
          <w:color w:val="auto"/>
          <w:sz w:val="28"/>
          <w:szCs w:val="28"/>
        </w:rPr>
        <w:t>阈值</w:t>
      </w:r>
      <w:r>
        <w:rPr>
          <w:rFonts w:hint="default" w:ascii="Times New Roman" w:hAnsi="Times New Roman" w:cs="Times New Roman"/>
          <w:color w:val="auto"/>
          <w:sz w:val="28"/>
          <w:szCs w:val="28"/>
          <w:lang w:val="en-US" w:eastAsia="zh-CN"/>
        </w:rPr>
        <w:t>的</w:t>
      </w:r>
      <w:r>
        <w:rPr>
          <w:rFonts w:hint="default" w:ascii="Times New Roman" w:hAnsi="Times New Roman" w:cs="Times New Roman"/>
          <w:color w:val="auto"/>
          <w:sz w:val="28"/>
          <w:szCs w:val="28"/>
        </w:rPr>
        <w:t>确定</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治理模式及治理效益等方面的研究还不够深入。</w:t>
      </w:r>
      <w:r>
        <w:rPr>
          <w:rFonts w:hint="default" w:ascii="Times New Roman" w:hAnsi="Times New Roman" w:cs="Times New Roman"/>
          <w:color w:val="auto"/>
          <w:sz w:val="28"/>
          <w:szCs w:val="28"/>
        </w:rPr>
        <w:t>围绕岩溶地区水土保持重点工程和生产建设项目水土流失治理中急需解决的基础理论与关键技术的研究</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特别是</w:t>
      </w:r>
      <w:r>
        <w:rPr>
          <w:rFonts w:hint="default" w:ascii="Times New Roman" w:hAnsi="Times New Roman" w:cs="Times New Roman"/>
          <w:color w:val="auto"/>
          <w:sz w:val="28"/>
          <w:szCs w:val="28"/>
        </w:rPr>
        <w:t>国家级重大科研项目的申报</w:t>
      </w:r>
      <w:r>
        <w:rPr>
          <w:rFonts w:hint="default" w:ascii="Times New Roman" w:hAnsi="Times New Roman" w:cs="Times New Roman"/>
          <w:color w:val="auto"/>
          <w:sz w:val="28"/>
          <w:szCs w:val="28"/>
          <w:lang w:val="en-US" w:eastAsia="zh-CN"/>
        </w:rPr>
        <w:t>相对偏少</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水土保持科技示范</w:t>
      </w:r>
      <w:r>
        <w:rPr>
          <w:rFonts w:hint="default" w:ascii="Times New Roman" w:hAnsi="Times New Roman" w:cs="Times New Roman"/>
          <w:color w:val="auto"/>
          <w:sz w:val="28"/>
          <w:szCs w:val="28"/>
          <w:lang w:val="en-US" w:eastAsia="zh-CN"/>
        </w:rPr>
        <w:t>基地偏少，</w:t>
      </w:r>
      <w:r>
        <w:rPr>
          <w:rFonts w:hint="default" w:ascii="Times New Roman" w:hAnsi="Times New Roman" w:cs="Times New Roman"/>
          <w:color w:val="auto"/>
          <w:sz w:val="28"/>
          <w:szCs w:val="28"/>
        </w:rPr>
        <w:t>科普教育工作有待加强。</w:t>
      </w:r>
      <w:r>
        <w:rPr>
          <w:rFonts w:hint="default" w:ascii="Times New Roman" w:hAnsi="Times New Roman" w:cs="Times New Roman"/>
          <w:color w:val="auto"/>
          <w:sz w:val="28"/>
          <w:szCs w:val="28"/>
          <w:lang w:val="en-US" w:eastAsia="zh-CN"/>
        </w:rPr>
        <w:t>社会公众了解、关心、支持和参与水土保持工作的程度还需要进一步提升</w:t>
      </w:r>
      <w:r>
        <w:rPr>
          <w:rFonts w:hint="default" w:ascii="Times New Roman" w:hAnsi="Times New Roman" w:cs="Times New Roman"/>
          <w:color w:val="auto"/>
          <w:sz w:val="28"/>
          <w:szCs w:val="28"/>
        </w:rPr>
        <w:t>。</w:t>
      </w:r>
    </w:p>
    <w:p w14:paraId="0EA260B8">
      <w:pPr>
        <w:pStyle w:val="2"/>
        <w:rPr>
          <w:rFonts w:hint="default" w:ascii="Times New Roman" w:hAnsi="Times New Roman" w:cs="Times New Roman"/>
          <w:color w:val="auto"/>
          <w:sz w:val="28"/>
          <w:szCs w:val="28"/>
        </w:rPr>
      </w:pPr>
    </w:p>
    <w:p w14:paraId="40EC9772">
      <w:pPr>
        <w:pStyle w:val="2"/>
        <w:rPr>
          <w:rFonts w:hint="default" w:ascii="Times New Roman" w:hAnsi="Times New Roman" w:cs="Times New Roman"/>
          <w:color w:val="auto"/>
          <w:sz w:val="28"/>
          <w:szCs w:val="28"/>
        </w:rPr>
      </w:pPr>
    </w:p>
    <w:p w14:paraId="3F32675E">
      <w:pPr>
        <w:pStyle w:val="2"/>
        <w:rPr>
          <w:rFonts w:hint="default" w:ascii="Times New Roman" w:hAnsi="Times New Roman" w:cs="Times New Roman"/>
          <w:color w:val="auto"/>
          <w:sz w:val="28"/>
          <w:szCs w:val="28"/>
        </w:rPr>
      </w:pPr>
    </w:p>
    <w:p w14:paraId="46A3538A">
      <w:pPr>
        <w:pStyle w:val="7"/>
        <w:bidi w:val="0"/>
        <w:rPr>
          <w:rFonts w:hint="default" w:ascii="Times New Roman" w:hAnsi="Times New Roman" w:eastAsia="黑体" w:cs="Times New Roman"/>
          <w:color w:val="auto"/>
          <w:sz w:val="32"/>
          <w:szCs w:val="32"/>
          <w:lang w:val="en-US" w:eastAsia="zh-CN"/>
        </w:rPr>
      </w:pPr>
      <w:bookmarkStart w:id="70" w:name="_Toc18815"/>
      <w:bookmarkStart w:id="71" w:name="_Toc28239"/>
      <w:r>
        <w:rPr>
          <w:rFonts w:hint="default" w:ascii="Times New Roman" w:hAnsi="Times New Roman" w:eastAsia="黑体" w:cs="Times New Roman"/>
          <w:color w:val="auto"/>
          <w:sz w:val="32"/>
          <w:szCs w:val="32"/>
          <w:lang w:val="en-US" w:eastAsia="zh-CN"/>
        </w:rPr>
        <w:t>二、面临的新形势和新要求</w:t>
      </w:r>
      <w:bookmarkEnd w:id="70"/>
      <w:bookmarkEnd w:id="71"/>
    </w:p>
    <w:p w14:paraId="26D7CE24">
      <w:pPr>
        <w:pStyle w:val="8"/>
        <w:spacing w:before="120" w:after="120" w:line="360" w:lineRule="auto"/>
        <w:rPr>
          <w:rFonts w:hint="eastAsia" w:ascii="楷体_GB2312" w:hAnsi="楷体_GB2312" w:eastAsia="楷体_GB2312" w:cs="楷体_GB2312"/>
          <w:b/>
          <w:bCs w:val="0"/>
          <w:snapToGrid w:val="0"/>
          <w:color w:val="auto"/>
          <w:kern w:val="2"/>
          <w:sz w:val="30"/>
          <w:szCs w:val="30"/>
          <w:lang w:val="en-US" w:eastAsia="zh-CN" w:bidi="ar-SA"/>
        </w:rPr>
      </w:pPr>
      <w:bookmarkStart w:id="72" w:name="_Toc27608"/>
      <w:r>
        <w:rPr>
          <w:rFonts w:hint="eastAsia" w:ascii="楷体_GB2312" w:hAnsi="楷体_GB2312" w:eastAsia="楷体_GB2312" w:cs="楷体_GB2312"/>
          <w:b/>
          <w:bCs w:val="0"/>
          <w:snapToGrid w:val="0"/>
          <w:color w:val="auto"/>
          <w:kern w:val="2"/>
          <w:sz w:val="30"/>
          <w:szCs w:val="30"/>
          <w:lang w:val="en-US" w:eastAsia="zh-CN" w:bidi="ar-SA"/>
        </w:rPr>
        <w:t>（一）贯彻生态文明新要求，统筹推进水土流失综合治理</w:t>
      </w:r>
      <w:bookmarkEnd w:id="72"/>
    </w:p>
    <w:p w14:paraId="6EBB0DDA">
      <w:pPr>
        <w:spacing w:line="580" w:lineRule="exact"/>
        <w:ind w:firstLine="560" w:firstLineChars="200"/>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color w:val="auto"/>
          <w:kern w:val="2"/>
          <w:sz w:val="28"/>
          <w:szCs w:val="28"/>
          <w:lang w:val="en-US" w:eastAsia="zh-CN" w:bidi="ar-SA"/>
        </w:rPr>
        <w:t>党的十八大以来，以习近平同志为核心的党中央高度重视生态文明建设，把生态文明建设纳入中国特色社会主义“五位一体”总体布局。十九大报告、《中共中央国务院关于加快推进生态文明建设的意见》、十九届四中</w:t>
      </w:r>
      <w:r>
        <w:rPr>
          <w:rFonts w:hint="default" w:ascii="Times New Roman" w:hAnsi="Times New Roman" w:cs="Times New Roman"/>
          <w:color w:val="auto"/>
          <w:kern w:val="2"/>
          <w:sz w:val="28"/>
          <w:szCs w:val="28"/>
          <w:lang w:val="en-US" w:eastAsia="zh-CN" w:bidi="ar-SA"/>
        </w:rPr>
        <w:t>、五中</w:t>
      </w:r>
      <w:r>
        <w:rPr>
          <w:rFonts w:hint="default" w:ascii="Times New Roman" w:hAnsi="Times New Roman" w:cs="Times New Roman" w:eastAsiaTheme="minorEastAsia"/>
          <w:color w:val="auto"/>
          <w:kern w:val="2"/>
          <w:sz w:val="28"/>
          <w:szCs w:val="28"/>
          <w:lang w:val="en-US" w:eastAsia="zh-CN" w:bidi="ar-SA"/>
        </w:rPr>
        <w:t>全会报告等一系列重要文件将水土保持作为生态文明重要建设内容作出安排部署，要求加强水土保持工作，加快推进水土流失治理</w:t>
      </w:r>
      <w:r>
        <w:rPr>
          <w:rFonts w:hint="default" w:ascii="Times New Roman" w:hAnsi="Times New Roman" w:cs="Times New Roman"/>
          <w:color w:val="auto"/>
          <w:kern w:val="2"/>
          <w:sz w:val="28"/>
          <w:szCs w:val="28"/>
          <w:lang w:val="en-US" w:eastAsia="zh-CN" w:bidi="ar-SA"/>
        </w:rPr>
        <w:t>。2021年贵州省政府工作报告中明确提出，全省要深入推进国家生态文明试验区建设，落实长江经济带生态大保护各项措施，以生态环境高水平保护促进经济</w:t>
      </w:r>
      <w:r>
        <w:rPr>
          <w:rFonts w:hint="default" w:ascii="Times New Roman" w:hAnsi="Times New Roman" w:cs="Times New Roman" w:eastAsiaTheme="minorEastAsia"/>
          <w:color w:val="auto"/>
          <w:kern w:val="2"/>
          <w:sz w:val="28"/>
          <w:szCs w:val="28"/>
          <w:lang w:val="en-US" w:eastAsia="zh-CN" w:bidi="ar-SA"/>
        </w:rPr>
        <w:t>高质量发展。</w:t>
      </w:r>
      <w:r>
        <w:rPr>
          <w:rFonts w:hint="default" w:ascii="Times New Roman" w:hAnsi="Times New Roman" w:cs="Times New Roman"/>
          <w:color w:val="auto"/>
          <w:kern w:val="2"/>
          <w:sz w:val="28"/>
          <w:szCs w:val="28"/>
          <w:lang w:val="en-US" w:eastAsia="zh-CN" w:bidi="ar-SA"/>
        </w:rPr>
        <w:t>水土流失已成为</w:t>
      </w:r>
      <w:r>
        <w:rPr>
          <w:rFonts w:hint="default" w:ascii="Times New Roman" w:hAnsi="Times New Roman" w:cs="Times New Roman" w:eastAsiaTheme="minorEastAsia"/>
          <w:color w:val="auto"/>
          <w:kern w:val="2"/>
          <w:sz w:val="28"/>
          <w:szCs w:val="28"/>
          <w:lang w:val="en-US" w:eastAsia="zh-CN" w:bidi="ar-SA"/>
        </w:rPr>
        <w:t>影响区域生态安全和制约长江</w:t>
      </w:r>
      <w:r>
        <w:rPr>
          <w:rFonts w:hint="default" w:ascii="Times New Roman" w:hAnsi="Times New Roman" w:cs="Times New Roman"/>
          <w:color w:val="auto"/>
          <w:kern w:val="2"/>
          <w:sz w:val="28"/>
          <w:szCs w:val="28"/>
          <w:lang w:val="en-US" w:eastAsia="zh-CN" w:bidi="ar-SA"/>
        </w:rPr>
        <w:t>中</w:t>
      </w:r>
      <w:r>
        <w:rPr>
          <w:rFonts w:hint="default" w:ascii="Times New Roman" w:hAnsi="Times New Roman" w:cs="Times New Roman" w:eastAsiaTheme="minorEastAsia"/>
          <w:color w:val="auto"/>
          <w:kern w:val="2"/>
          <w:sz w:val="28"/>
          <w:szCs w:val="28"/>
          <w:lang w:val="en-US" w:eastAsia="zh-CN" w:bidi="ar-SA"/>
        </w:rPr>
        <w:t>上游生态屏障建设的关键因子</w:t>
      </w:r>
      <w:r>
        <w:rPr>
          <w:rFonts w:hint="default" w:ascii="Times New Roman" w:hAnsi="Times New Roman" w:cs="Times New Roman"/>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“十四五”</w:t>
      </w:r>
      <w:r>
        <w:rPr>
          <w:rFonts w:hint="default" w:ascii="Times New Roman" w:hAnsi="Times New Roman" w:cs="Times New Roman"/>
          <w:color w:val="auto"/>
          <w:kern w:val="2"/>
          <w:sz w:val="28"/>
          <w:szCs w:val="28"/>
          <w:lang w:val="en-US" w:eastAsia="zh-CN" w:bidi="ar-SA"/>
        </w:rPr>
        <w:t>期间，要充分</w:t>
      </w:r>
      <w:r>
        <w:rPr>
          <w:rFonts w:hint="default" w:ascii="Times New Roman" w:hAnsi="Times New Roman" w:cs="Times New Roman" w:eastAsiaTheme="minorEastAsia"/>
          <w:color w:val="auto"/>
          <w:kern w:val="2"/>
          <w:sz w:val="28"/>
          <w:szCs w:val="28"/>
          <w:lang w:val="en-US" w:eastAsia="zh-CN" w:bidi="ar-SA"/>
        </w:rPr>
        <w:t>发挥水土保持委员会组织领导作用，统筹推进国家水土保持重点治理工程、</w:t>
      </w:r>
      <w:r>
        <w:rPr>
          <w:rFonts w:hint="default" w:ascii="Times New Roman" w:hAnsi="Times New Roman" w:cs="Times New Roman"/>
          <w:color w:val="auto"/>
          <w:kern w:val="2"/>
          <w:sz w:val="28"/>
          <w:szCs w:val="28"/>
          <w:lang w:val="en-US" w:eastAsia="zh-CN" w:bidi="ar-SA"/>
        </w:rPr>
        <w:t>林草工程</w:t>
      </w:r>
      <w:r>
        <w:rPr>
          <w:rFonts w:hint="default" w:ascii="Times New Roman" w:hAnsi="Times New Roman" w:cs="Times New Roman" w:eastAsiaTheme="minorEastAsia"/>
          <w:color w:val="auto"/>
          <w:kern w:val="2"/>
          <w:sz w:val="28"/>
          <w:szCs w:val="28"/>
          <w:lang w:val="en-US" w:eastAsia="zh-CN" w:bidi="ar-SA"/>
        </w:rPr>
        <w:t>、</w:t>
      </w:r>
      <w:r>
        <w:rPr>
          <w:rFonts w:hint="default" w:ascii="Times New Roman" w:hAnsi="Times New Roman" w:cs="Times New Roman"/>
          <w:color w:val="auto"/>
          <w:kern w:val="2"/>
          <w:sz w:val="28"/>
          <w:szCs w:val="28"/>
          <w:lang w:val="en-US" w:eastAsia="zh-CN" w:bidi="ar-SA"/>
        </w:rPr>
        <w:t>高标准农田建设</w:t>
      </w:r>
      <w:r>
        <w:rPr>
          <w:rFonts w:hint="default" w:ascii="Times New Roman" w:hAnsi="Times New Roman" w:cs="Times New Roman" w:eastAsiaTheme="minorEastAsia"/>
          <w:color w:val="auto"/>
          <w:kern w:val="2"/>
          <w:sz w:val="28"/>
          <w:szCs w:val="28"/>
          <w:lang w:val="en-US" w:eastAsia="zh-CN" w:bidi="ar-SA"/>
        </w:rPr>
        <w:t>等项目的建设和管理，强化水土保持规划引领作用，</w:t>
      </w:r>
      <w:r>
        <w:rPr>
          <w:rFonts w:hint="default" w:ascii="Times New Roman" w:hAnsi="Times New Roman" w:cs="Times New Roman"/>
          <w:color w:val="auto"/>
          <w:kern w:val="2"/>
          <w:sz w:val="28"/>
          <w:szCs w:val="28"/>
          <w:lang w:val="en-US" w:eastAsia="zh-CN" w:bidi="ar-SA"/>
        </w:rPr>
        <w:t>努力完成</w:t>
      </w:r>
      <w:r>
        <w:rPr>
          <w:rFonts w:hint="default" w:ascii="Times New Roman" w:hAnsi="Times New Roman" w:cs="Times New Roman" w:eastAsiaTheme="minorEastAsia"/>
          <w:color w:val="auto"/>
          <w:kern w:val="2"/>
          <w:sz w:val="28"/>
          <w:szCs w:val="28"/>
          <w:lang w:val="en-US" w:eastAsia="zh-CN" w:bidi="ar-SA"/>
        </w:rPr>
        <w:t>水土流失治理</w:t>
      </w:r>
      <w:r>
        <w:rPr>
          <w:rFonts w:hint="default" w:ascii="Times New Roman" w:hAnsi="Times New Roman" w:cs="Times New Roman"/>
          <w:color w:val="auto"/>
          <w:kern w:val="2"/>
          <w:sz w:val="28"/>
          <w:szCs w:val="28"/>
          <w:lang w:val="en-US" w:eastAsia="zh-CN" w:bidi="ar-SA"/>
        </w:rPr>
        <w:t>面积1.49万平方公里，提高全省水土保持率。争取更多</w:t>
      </w:r>
      <w:r>
        <w:rPr>
          <w:rFonts w:hint="default" w:ascii="Times New Roman" w:hAnsi="Times New Roman" w:cs="Times New Roman" w:eastAsiaTheme="minorEastAsia"/>
          <w:color w:val="auto"/>
          <w:kern w:val="2"/>
          <w:sz w:val="28"/>
          <w:szCs w:val="28"/>
          <w:lang w:val="en-US" w:eastAsia="zh-CN" w:bidi="ar-SA"/>
        </w:rPr>
        <w:t>国家有关部委</w:t>
      </w:r>
      <w:r>
        <w:rPr>
          <w:rFonts w:hint="default" w:ascii="Times New Roman" w:hAnsi="Times New Roman" w:cs="Times New Roman"/>
          <w:color w:val="auto"/>
          <w:kern w:val="2"/>
          <w:sz w:val="28"/>
          <w:szCs w:val="28"/>
          <w:lang w:val="en-US" w:eastAsia="zh-CN" w:bidi="ar-SA"/>
        </w:rPr>
        <w:t>的</w:t>
      </w:r>
      <w:r>
        <w:rPr>
          <w:rFonts w:hint="default" w:ascii="Times New Roman" w:hAnsi="Times New Roman" w:cs="Times New Roman" w:eastAsiaTheme="minorEastAsia"/>
          <w:color w:val="auto"/>
          <w:kern w:val="2"/>
          <w:sz w:val="28"/>
          <w:szCs w:val="28"/>
          <w:lang w:val="en-US" w:eastAsia="zh-CN" w:bidi="ar-SA"/>
        </w:rPr>
        <w:t>支持，推动我省重点项目落地实施，加快水土流失治理步伐</w:t>
      </w:r>
      <w:r>
        <w:rPr>
          <w:rFonts w:hint="default" w:ascii="Times New Roman" w:hAnsi="Times New Roman" w:cs="Times New Roman"/>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为建设美丽中国、筑牢</w:t>
      </w:r>
      <w:r>
        <w:rPr>
          <w:rFonts w:hint="eastAsia" w:ascii="Times New Roman" w:hAnsi="Times New Roman" w:cs="Times New Roman"/>
          <w:color w:val="auto"/>
          <w:kern w:val="2"/>
          <w:sz w:val="28"/>
          <w:szCs w:val="28"/>
          <w:lang w:val="en-US" w:eastAsia="zh-CN" w:bidi="ar-SA"/>
        </w:rPr>
        <w:t>长江中</w:t>
      </w:r>
      <w:r>
        <w:rPr>
          <w:rFonts w:hint="default" w:ascii="Times New Roman" w:hAnsi="Times New Roman" w:cs="Times New Roman" w:eastAsiaTheme="minorEastAsia"/>
          <w:color w:val="auto"/>
          <w:kern w:val="2"/>
          <w:sz w:val="28"/>
          <w:szCs w:val="28"/>
          <w:lang w:val="en-US" w:eastAsia="zh-CN" w:bidi="ar-SA"/>
        </w:rPr>
        <w:t>上游生态屏障作出水土保持的贡献。</w:t>
      </w:r>
    </w:p>
    <w:p w14:paraId="395783AC">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73" w:name="_Toc27702"/>
      <w:r>
        <w:rPr>
          <w:rFonts w:hint="default" w:ascii="楷体_GB2312" w:hAnsi="楷体_GB2312" w:eastAsia="楷体_GB2312" w:cs="楷体_GB2312"/>
          <w:b/>
          <w:bCs w:val="0"/>
          <w:snapToGrid w:val="0"/>
          <w:color w:val="auto"/>
          <w:kern w:val="2"/>
          <w:sz w:val="30"/>
          <w:szCs w:val="30"/>
          <w:lang w:val="en-US" w:eastAsia="zh-CN" w:bidi="ar-SA"/>
        </w:rPr>
        <w:t>（二）实施乡村振兴重大战略，</w:t>
      </w:r>
      <w:bookmarkEnd w:id="73"/>
      <w:r>
        <w:rPr>
          <w:rFonts w:hint="eastAsia" w:ascii="楷体_GB2312" w:hAnsi="楷体_GB2312" w:eastAsia="楷体_GB2312" w:cs="楷体_GB2312"/>
          <w:b/>
          <w:bCs w:val="0"/>
          <w:snapToGrid w:val="0"/>
          <w:color w:val="auto"/>
          <w:kern w:val="2"/>
          <w:sz w:val="30"/>
          <w:szCs w:val="30"/>
          <w:lang w:val="en-US" w:eastAsia="zh-CN" w:bidi="ar-SA"/>
        </w:rPr>
        <w:t>巩固拓展脱贫攻坚成果</w:t>
      </w:r>
    </w:p>
    <w:p w14:paraId="0A2F4C9A">
      <w:pPr>
        <w:spacing w:line="580" w:lineRule="exact"/>
        <w:ind w:firstLine="560" w:firstLineChars="200"/>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color w:val="auto"/>
          <w:kern w:val="2"/>
          <w:sz w:val="28"/>
          <w:szCs w:val="28"/>
          <w:lang w:val="en-US" w:eastAsia="zh-CN" w:bidi="ar-SA"/>
        </w:rPr>
        <w:t>党的十九届五中全会提出要全面推进乡村振兴，以保障粮食安全为底线，深入实施藏粮于地、藏粮于技战略，提高农业质量效益和竞争力。特殊的自然生态条件决定了我省坡耕地、石漠化地分布面积广，水土流失严重，土地生产力不高。“十四五”期间，在保住耕地面积的同时，要加大现有坡耕地水土流失综合治理力度，改善坡地蓄水保土能力，提高耕地质量和土地生产力。统筹山水林田湖草系统治理，把水土流失治理与乡村振兴和巩固拓展脱贫攻坚成果等紧密结合起来，坚持生态产业化、产业生态化,发展水保经济，实现生态效益、社会效益和经济效益相统一。以长江重点生态区生态保护和修复重大工程</w:t>
      </w:r>
      <w:r>
        <w:rPr>
          <w:rFonts w:hint="default" w:ascii="Times New Roman" w:hAnsi="Times New Roman" w:cs="Times New Roman"/>
          <w:color w:val="auto"/>
          <w:kern w:val="2"/>
          <w:sz w:val="28"/>
          <w:szCs w:val="28"/>
          <w:lang w:val="en-US" w:eastAsia="zh-CN" w:bidi="ar-SA"/>
        </w:rPr>
        <w:t>、国家水土流失重点治理工程、</w:t>
      </w:r>
      <w:r>
        <w:rPr>
          <w:rFonts w:hint="default" w:ascii="Times New Roman" w:hAnsi="Times New Roman" w:cs="Times New Roman" w:eastAsiaTheme="minorEastAsia"/>
          <w:color w:val="auto"/>
          <w:kern w:val="2"/>
          <w:sz w:val="28"/>
          <w:szCs w:val="28"/>
          <w:lang w:val="en-US" w:eastAsia="zh-CN" w:bidi="ar-SA"/>
        </w:rPr>
        <w:t>贵州省统筹推进山水林田湖草系统治理行动、赤水河流域生态保护修复攻坚计划等重大工程为契机，完善治理体系，提高治理能力，打造一批可借鉴、可复制、可推广的水土保持综合</w:t>
      </w:r>
      <w:r>
        <w:rPr>
          <w:rFonts w:hint="default" w:ascii="Times New Roman" w:hAnsi="Times New Roman" w:cs="Times New Roman"/>
          <w:color w:val="auto"/>
          <w:sz w:val="28"/>
          <w:szCs w:val="28"/>
        </w:rPr>
        <w:t>治理样板工程。</w:t>
      </w:r>
    </w:p>
    <w:p w14:paraId="3AA1D2EB">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74" w:name="_Toc14413"/>
      <w:r>
        <w:rPr>
          <w:rFonts w:hint="default" w:ascii="楷体_GB2312" w:hAnsi="楷体_GB2312" w:eastAsia="楷体_GB2312" w:cs="楷体_GB2312"/>
          <w:b/>
          <w:bCs w:val="0"/>
          <w:snapToGrid w:val="0"/>
          <w:color w:val="auto"/>
          <w:kern w:val="2"/>
          <w:sz w:val="30"/>
          <w:szCs w:val="30"/>
          <w:lang w:val="en-US" w:eastAsia="zh-CN" w:bidi="ar-SA"/>
        </w:rPr>
        <w:t>（三）把握</w:t>
      </w:r>
      <w:r>
        <w:rPr>
          <w:rFonts w:hint="eastAsia" w:ascii="楷体_GB2312" w:hAnsi="楷体_GB2312" w:eastAsia="楷体_GB2312" w:cs="楷体_GB2312"/>
          <w:b/>
          <w:bCs w:val="0"/>
          <w:snapToGrid w:val="0"/>
          <w:color w:val="auto"/>
          <w:kern w:val="2"/>
          <w:sz w:val="30"/>
          <w:szCs w:val="30"/>
          <w:lang w:val="en-US" w:eastAsia="zh-CN" w:bidi="ar-SA"/>
        </w:rPr>
        <w:t>十六字治水方针</w:t>
      </w:r>
      <w:r>
        <w:rPr>
          <w:rFonts w:hint="default" w:ascii="楷体_GB2312" w:hAnsi="楷体_GB2312" w:eastAsia="楷体_GB2312" w:cs="楷体_GB2312"/>
          <w:b/>
          <w:bCs w:val="0"/>
          <w:snapToGrid w:val="0"/>
          <w:color w:val="auto"/>
          <w:kern w:val="2"/>
          <w:sz w:val="30"/>
          <w:szCs w:val="30"/>
          <w:lang w:val="en-US" w:eastAsia="zh-CN" w:bidi="ar-SA"/>
        </w:rPr>
        <w:t>，狠抓人为水土流失监管</w:t>
      </w:r>
      <w:bookmarkEnd w:id="74"/>
    </w:p>
    <w:p w14:paraId="0C674561">
      <w:pPr>
        <w:pStyle w:val="9"/>
        <w:rPr>
          <w:rFonts w:hint="default"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color w:val="auto"/>
          <w:kern w:val="2"/>
          <w:sz w:val="28"/>
          <w:szCs w:val="28"/>
          <w:lang w:val="en-US" w:eastAsia="zh-CN" w:bidi="ar-SA"/>
        </w:rPr>
        <w:t>牢牢</w:t>
      </w:r>
      <w:r>
        <w:rPr>
          <w:rFonts w:hint="default" w:ascii="Times New Roman" w:hAnsi="Times New Roman" w:cs="Times New Roman" w:eastAsiaTheme="minorEastAsia"/>
          <w:color w:val="auto"/>
          <w:kern w:val="2"/>
          <w:sz w:val="28"/>
          <w:szCs w:val="28"/>
          <w:lang w:val="en-US" w:eastAsia="zh-CN" w:bidi="ar-SA"/>
        </w:rPr>
        <w:t>把握习近平总书记</w:t>
      </w:r>
      <w:r>
        <w:rPr>
          <w:rFonts w:hint="eastAsia" w:ascii="Times New Roman" w:hAnsi="Times New Roman" w:cs="Times New Roman"/>
          <w:color w:val="auto"/>
          <w:kern w:val="2"/>
          <w:sz w:val="28"/>
          <w:szCs w:val="28"/>
          <w:lang w:val="en-US" w:eastAsia="zh-CN" w:bidi="ar-SA"/>
        </w:rPr>
        <w:t>“</w:t>
      </w:r>
      <w:r>
        <w:rPr>
          <w:rFonts w:hint="eastAsia" w:ascii="Times New Roman" w:hAnsi="Times New Roman" w:cs="Times New Roman" w:eastAsiaTheme="minorEastAsia"/>
          <w:color w:val="auto"/>
          <w:kern w:val="2"/>
          <w:sz w:val="28"/>
          <w:szCs w:val="28"/>
          <w:lang w:val="en-US" w:eastAsia="zh-CN" w:bidi="ar-SA"/>
        </w:rPr>
        <w:t>十六字</w:t>
      </w:r>
      <w:r>
        <w:rPr>
          <w:rFonts w:hint="eastAsia" w:ascii="Times New Roman" w:hAnsi="Times New Roman" w:cs="Times New Roman"/>
          <w:color w:val="auto"/>
          <w:kern w:val="2"/>
          <w:sz w:val="28"/>
          <w:szCs w:val="28"/>
          <w:lang w:val="en-US" w:eastAsia="zh-CN" w:bidi="ar-SA"/>
        </w:rPr>
        <w:t>”</w:t>
      </w:r>
      <w:r>
        <w:rPr>
          <w:rFonts w:hint="eastAsia" w:ascii="Times New Roman" w:hAnsi="Times New Roman" w:cs="Times New Roman" w:eastAsiaTheme="minorEastAsia"/>
          <w:color w:val="auto"/>
          <w:kern w:val="2"/>
          <w:sz w:val="28"/>
          <w:szCs w:val="28"/>
          <w:lang w:val="en-US" w:eastAsia="zh-CN" w:bidi="ar-SA"/>
        </w:rPr>
        <w:t>治水方针</w:t>
      </w:r>
      <w:r>
        <w:rPr>
          <w:rFonts w:hint="default" w:ascii="Times New Roman" w:hAnsi="Times New Roman" w:cs="Times New Roman" w:eastAsiaTheme="minorEastAsia"/>
          <w:color w:val="auto"/>
          <w:kern w:val="2"/>
          <w:sz w:val="28"/>
          <w:szCs w:val="28"/>
          <w:lang w:val="en-US" w:eastAsia="zh-CN" w:bidi="ar-SA"/>
        </w:rPr>
        <w:t>，重点是把握从改变自然、征服自然为主转向调整人的行为、纠正人的错误行为这个核心。将工作重心转变到水土保持监管上。坚持问题导向和目标导向，以强化人为水土流失监管为核心，以完善政策机制为重点，充分依靠先进技术手段，促进地方政府责任落实，抓好水土保持社会监管和水土保持行业监管。“十四五”</w:t>
      </w:r>
      <w:r>
        <w:rPr>
          <w:rFonts w:hint="default" w:ascii="Times New Roman" w:hAnsi="Times New Roman" w:cs="Times New Roman"/>
          <w:color w:val="auto"/>
          <w:kern w:val="2"/>
          <w:sz w:val="28"/>
          <w:szCs w:val="28"/>
          <w:lang w:val="en-US" w:eastAsia="zh-CN" w:bidi="ar-SA"/>
        </w:rPr>
        <w:t>期间，要</w:t>
      </w:r>
      <w:r>
        <w:rPr>
          <w:rFonts w:hint="default" w:ascii="Times New Roman" w:hAnsi="Times New Roman" w:cs="Times New Roman" w:eastAsiaTheme="minorEastAsia"/>
          <w:color w:val="auto"/>
          <w:kern w:val="2"/>
          <w:sz w:val="28"/>
          <w:szCs w:val="28"/>
          <w:lang w:val="en-US" w:eastAsia="zh-CN" w:bidi="ar-SA"/>
        </w:rPr>
        <w:t>做好“事前”服务，对可能造成严重水土流失危害的项目，在项目开工前介入，为建设单位提供防治水土流失的业务指导。同时严把审批质量关，让批复的水土保持方案对建设项目的水土保持措施实施更具有指导作用。抓好人为水土流失遥感常态化全覆盖监管，加密监管频次，及时发现、查处未批先建、未批先弃、未验先投、不依法履行水土流失治理义务等违法违规行为，及时纠正先破坏后治理的错误行为。加强跟踪检查、验收核查和违法违规项目整治，强化</w:t>
      </w:r>
      <w:r>
        <w:rPr>
          <w:rFonts w:hint="default" w:ascii="Times New Roman" w:hAnsi="Times New Roman" w:cs="Times New Roman" w:eastAsiaTheme="minorEastAsia"/>
          <w:color w:val="auto"/>
          <w:kern w:val="2"/>
          <w:sz w:val="28"/>
          <w:szCs w:val="28"/>
          <w:lang w:val="zh-CN" w:eastAsia="zh-CN" w:bidi="ar-SA"/>
        </w:rPr>
        <w:t>生产建设项目水土保持监测管理，</w:t>
      </w:r>
      <w:r>
        <w:rPr>
          <w:rFonts w:hint="default" w:ascii="Times New Roman" w:hAnsi="Times New Roman" w:cs="Times New Roman" w:eastAsiaTheme="minorEastAsia"/>
          <w:color w:val="auto"/>
          <w:kern w:val="2"/>
          <w:sz w:val="28"/>
          <w:szCs w:val="28"/>
          <w:lang w:val="en-US" w:eastAsia="zh-CN" w:bidi="ar-SA"/>
        </w:rPr>
        <w:t>督促建设单位执行水土保持“三同时”制度，限期对违法违规行为进行整改，落实水土保持措施，确保水土保持设施发挥功能。对落实水土保持法规制度要求不到位的，依法追究法律责任，并严格落实责任追究、信用监管“两单”制度</w:t>
      </w:r>
      <w:r>
        <w:rPr>
          <w:rFonts w:hint="eastAsia" w:ascii="Times New Roman" w:hAnsi="Times New Roman" w:cs="Times New Roman"/>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使法规制度长牙、带电、有威慑力，依法管住人为水土流失。</w:t>
      </w:r>
    </w:p>
    <w:p w14:paraId="47229DC5">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75" w:name="_Toc8740"/>
      <w:r>
        <w:rPr>
          <w:rFonts w:hint="default" w:ascii="楷体_GB2312" w:hAnsi="楷体_GB2312" w:eastAsia="楷体_GB2312" w:cs="楷体_GB2312"/>
          <w:b/>
          <w:bCs w:val="0"/>
          <w:snapToGrid w:val="0"/>
          <w:color w:val="auto"/>
          <w:kern w:val="2"/>
          <w:sz w:val="30"/>
          <w:szCs w:val="30"/>
          <w:lang w:val="en-US" w:eastAsia="zh-CN" w:bidi="ar-SA"/>
        </w:rPr>
        <w:t>（四）推动水土保持高质量发展，强化机制体制建设</w:t>
      </w:r>
      <w:bookmarkEnd w:id="75"/>
    </w:p>
    <w:p w14:paraId="2753B71F">
      <w:pPr>
        <w:ind w:firstLine="560" w:firstLineChars="200"/>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高质量发展是新时代对经济社会发展阶段的精确定位，是适应人民群众美好生活需要的必然选择。水土保持高质量发展，要破解新时代水土保持面临的新矛盾、新问题，实现质量、效率、动力变革，提高其对生态文明和经济社会发展的保障率和贡献率。实现水土保持高质量发展，促进水土保持提质增效是新时代水土保持的新要求。党的十九届四中全会就推进国家治理体系和治理能力现代化作出重大部署，这也对完善水土保持制度和措施体系、提升制度执行和治理能力提出了新要求。</w:t>
      </w:r>
      <w:r>
        <w:rPr>
          <w:rFonts w:hint="default" w:ascii="Times New Roman" w:hAnsi="Times New Roman" w:cs="Times New Roman" w:eastAsiaTheme="minorEastAsia"/>
          <w:color w:val="auto"/>
          <w:kern w:val="2"/>
          <w:sz w:val="28"/>
          <w:szCs w:val="28"/>
          <w:lang w:val="en-US" w:eastAsia="zh-CN" w:bidi="ar-SA"/>
        </w:rPr>
        <w:t>“十四五”</w:t>
      </w:r>
      <w:r>
        <w:rPr>
          <w:rFonts w:hint="default" w:ascii="Times New Roman" w:hAnsi="Times New Roman" w:cs="Times New Roman"/>
          <w:color w:val="auto"/>
          <w:kern w:val="2"/>
          <w:sz w:val="28"/>
          <w:szCs w:val="28"/>
          <w:lang w:val="en-US" w:eastAsia="zh-CN" w:bidi="ar-SA"/>
        </w:rPr>
        <w:t>期间，要强化政府领导、水利牵头、部门协作、社会参与的水土保持工作联动机制，有效落实水</w:t>
      </w:r>
      <w:r>
        <w:rPr>
          <w:rFonts w:hint="default" w:ascii="Times New Roman" w:hAnsi="Times New Roman" w:cs="Times New Roman" w:eastAsiaTheme="minorEastAsia"/>
          <w:color w:val="auto"/>
          <w:kern w:val="2"/>
          <w:sz w:val="28"/>
          <w:szCs w:val="28"/>
          <w:lang w:val="en-US" w:eastAsia="zh-CN" w:bidi="ar-SA"/>
        </w:rPr>
        <w:t>土保持目标责任制度，</w:t>
      </w:r>
      <w:r>
        <w:rPr>
          <w:rFonts w:hint="default" w:ascii="Times New Roman" w:hAnsi="Times New Roman" w:cs="Times New Roman"/>
          <w:color w:val="auto"/>
          <w:kern w:val="2"/>
          <w:sz w:val="28"/>
          <w:szCs w:val="28"/>
          <w:lang w:val="en-US" w:eastAsia="zh-CN" w:bidi="ar-SA"/>
        </w:rPr>
        <w:t>压实市</w:t>
      </w:r>
      <w:r>
        <w:rPr>
          <w:rFonts w:hint="default" w:ascii="Times New Roman" w:hAnsi="Times New Roman" w:cs="Times New Roman" w:eastAsiaTheme="minorEastAsia"/>
          <w:color w:val="auto"/>
          <w:kern w:val="2"/>
          <w:sz w:val="28"/>
          <w:szCs w:val="28"/>
          <w:lang w:val="en-US" w:eastAsia="zh-CN" w:bidi="ar-SA"/>
        </w:rPr>
        <w:t>县政府和相关行业主管部门推进水土流失治理和水土保持监管的责任</w:t>
      </w:r>
      <w:r>
        <w:rPr>
          <w:rFonts w:hint="default" w:ascii="Times New Roman" w:hAnsi="Times New Roman" w:cs="Times New Roman"/>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总结好“以奖代补、先建后补”建设试点的经验做法，制定出台贵州省水土保持重点工程以奖代补实施办法，引进民间资本参与治理，既推动加快水土流失治理发挥生态效益，又带动群众发展产业获得经济效益</w:t>
      </w:r>
      <w:r>
        <w:rPr>
          <w:rFonts w:hint="default" w:ascii="Times New Roman" w:hAnsi="Times New Roman" w:cs="Times New Roman"/>
          <w:color w:val="auto"/>
          <w:kern w:val="2"/>
          <w:sz w:val="28"/>
          <w:szCs w:val="28"/>
          <w:lang w:val="en-US" w:eastAsia="zh-CN" w:bidi="ar-SA"/>
        </w:rPr>
        <w:t>。</w:t>
      </w:r>
    </w:p>
    <w:p w14:paraId="6DA1BCA2">
      <w:pPr>
        <w:pStyle w:val="8"/>
        <w:spacing w:before="120" w:after="120" w:line="360" w:lineRule="auto"/>
        <w:rPr>
          <w:rFonts w:hint="default" w:ascii="楷体_GB2312" w:hAnsi="楷体_GB2312" w:eastAsia="楷体_GB2312" w:cs="楷体_GB2312"/>
          <w:b/>
          <w:bCs w:val="0"/>
          <w:snapToGrid w:val="0"/>
          <w:color w:val="auto"/>
          <w:kern w:val="2"/>
          <w:sz w:val="30"/>
          <w:szCs w:val="30"/>
          <w:lang w:val="en-US" w:eastAsia="zh-CN" w:bidi="ar-SA"/>
        </w:rPr>
      </w:pPr>
      <w:bookmarkStart w:id="76" w:name="_Toc6460"/>
      <w:r>
        <w:rPr>
          <w:rFonts w:hint="default" w:ascii="楷体_GB2312" w:hAnsi="楷体_GB2312" w:eastAsia="楷体_GB2312" w:cs="楷体_GB2312"/>
          <w:b/>
          <w:bCs w:val="0"/>
          <w:snapToGrid w:val="0"/>
          <w:color w:val="auto"/>
          <w:kern w:val="2"/>
          <w:sz w:val="30"/>
          <w:szCs w:val="30"/>
          <w:lang w:val="en-US" w:eastAsia="zh-CN" w:bidi="ar-SA"/>
        </w:rPr>
        <w:t>（五）围绕“四新”抓“四化”，以科技创新引领发展</w:t>
      </w:r>
      <w:bookmarkEnd w:id="76"/>
    </w:p>
    <w:p w14:paraId="18CE3325">
      <w:pPr>
        <w:numPr>
          <w:ilvl w:val="0"/>
          <w:numId w:val="0"/>
        </w:numPr>
        <w:spacing w:line="580" w:lineRule="exact"/>
        <w:ind w:firstLine="560" w:firstLineChars="200"/>
        <w:rPr>
          <w:rFonts w:hint="default" w:ascii="Times New Roman" w:hAnsi="Times New Roman" w:cs="Times New Roman"/>
          <w:color w:val="auto"/>
          <w:sz w:val="28"/>
          <w:szCs w:val="28"/>
        </w:rPr>
      </w:pPr>
      <w:r>
        <w:rPr>
          <w:rFonts w:hint="default" w:ascii="Times New Roman" w:hAnsi="Times New Roman" w:cs="Times New Roman" w:eastAsiaTheme="minorEastAsia"/>
          <w:b w:val="0"/>
          <w:bCs w:val="0"/>
          <w:color w:val="auto"/>
          <w:kern w:val="2"/>
          <w:sz w:val="28"/>
          <w:szCs w:val="28"/>
          <w:lang w:val="en-US" w:eastAsia="zh-CN" w:bidi="ar-SA"/>
        </w:rPr>
        <w:t>促进水土保持</w:t>
      </w:r>
      <w:r>
        <w:rPr>
          <w:rFonts w:hint="default" w:ascii="Times New Roman" w:hAnsi="Times New Roman" w:cs="Times New Roman"/>
          <w:b w:val="0"/>
          <w:bCs w:val="0"/>
          <w:color w:val="auto"/>
          <w:kern w:val="2"/>
          <w:sz w:val="28"/>
          <w:szCs w:val="28"/>
          <w:lang w:val="en-US" w:eastAsia="zh-CN" w:bidi="ar-SA"/>
        </w:rPr>
        <w:t>工作的</w:t>
      </w:r>
      <w:r>
        <w:rPr>
          <w:rFonts w:hint="default" w:ascii="Times New Roman" w:hAnsi="Times New Roman" w:cs="Times New Roman" w:eastAsiaTheme="minorEastAsia"/>
          <w:b w:val="0"/>
          <w:bCs w:val="0"/>
          <w:color w:val="auto"/>
          <w:kern w:val="2"/>
          <w:sz w:val="28"/>
          <w:szCs w:val="28"/>
          <w:lang w:val="en-US" w:eastAsia="zh-CN" w:bidi="ar-SA"/>
        </w:rPr>
        <w:t>提质增效</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就</w:t>
      </w:r>
      <w:r>
        <w:rPr>
          <w:rFonts w:hint="default" w:ascii="Times New Roman" w:hAnsi="Times New Roman" w:cs="Times New Roman"/>
          <w:color w:val="auto"/>
          <w:sz w:val="28"/>
          <w:szCs w:val="28"/>
        </w:rPr>
        <w:t>必须</w:t>
      </w:r>
      <w:r>
        <w:rPr>
          <w:rFonts w:hint="default" w:ascii="Times New Roman" w:hAnsi="Times New Roman" w:cs="Times New Roman"/>
          <w:color w:val="auto"/>
          <w:sz w:val="28"/>
          <w:szCs w:val="28"/>
          <w:lang w:val="en-US" w:eastAsia="zh-CN"/>
        </w:rPr>
        <w:t>坚持</w:t>
      </w:r>
      <w:r>
        <w:rPr>
          <w:rFonts w:hint="default" w:ascii="Times New Roman" w:hAnsi="Times New Roman" w:cs="Times New Roman"/>
          <w:color w:val="auto"/>
          <w:sz w:val="28"/>
          <w:szCs w:val="28"/>
        </w:rPr>
        <w:t>以科技创新为引领，</w:t>
      </w:r>
      <w:r>
        <w:rPr>
          <w:rFonts w:hint="default" w:ascii="Times New Roman" w:hAnsi="Times New Roman" w:cs="Times New Roman"/>
          <w:color w:val="auto"/>
          <w:sz w:val="28"/>
          <w:szCs w:val="28"/>
          <w:lang w:val="en-US" w:eastAsia="zh-CN"/>
        </w:rPr>
        <w:t>这也</w:t>
      </w:r>
      <w:r>
        <w:rPr>
          <w:rFonts w:hint="default" w:ascii="Times New Roman" w:hAnsi="Times New Roman" w:cs="Times New Roman" w:eastAsiaTheme="minorEastAsia"/>
          <w:b w:val="0"/>
          <w:bCs w:val="0"/>
          <w:color w:val="auto"/>
          <w:kern w:val="2"/>
          <w:sz w:val="28"/>
          <w:szCs w:val="28"/>
          <w:lang w:val="en-US" w:eastAsia="zh-CN" w:bidi="ar-SA"/>
        </w:rPr>
        <w:t>是水土保持</w:t>
      </w:r>
      <w:r>
        <w:rPr>
          <w:rFonts w:hint="default" w:ascii="Times New Roman" w:hAnsi="Times New Roman" w:cs="Times New Roman"/>
          <w:b w:val="0"/>
          <w:bCs w:val="0"/>
          <w:color w:val="auto"/>
          <w:kern w:val="2"/>
          <w:sz w:val="28"/>
          <w:szCs w:val="28"/>
          <w:lang w:val="en-US" w:eastAsia="zh-CN" w:bidi="ar-SA"/>
        </w:rPr>
        <w:t>工</w:t>
      </w:r>
      <w:r>
        <w:rPr>
          <w:rFonts w:hint="default" w:ascii="Times New Roman" w:hAnsi="Times New Roman" w:cs="Times New Roman" w:eastAsiaTheme="minorEastAsia"/>
          <w:b w:val="0"/>
          <w:bCs w:val="0"/>
          <w:color w:val="auto"/>
          <w:kern w:val="2"/>
          <w:sz w:val="28"/>
          <w:szCs w:val="28"/>
          <w:lang w:val="en-US" w:eastAsia="zh-CN" w:bidi="ar-SA"/>
        </w:rPr>
        <w:t>作围绕“四新”抓“四化”</w:t>
      </w:r>
      <w:r>
        <w:rPr>
          <w:rFonts w:hint="default" w:ascii="Times New Roman" w:hAnsi="Times New Roman" w:cs="Times New Roman"/>
          <w:b w:val="0"/>
          <w:bCs w:val="0"/>
          <w:color w:val="auto"/>
          <w:kern w:val="2"/>
          <w:sz w:val="28"/>
          <w:szCs w:val="28"/>
          <w:lang w:val="en-US" w:eastAsia="zh-CN" w:bidi="ar-SA"/>
        </w:rPr>
        <w:t>面临的新形势和新要求</w:t>
      </w:r>
      <w:r>
        <w:rPr>
          <w:rFonts w:hint="default" w:ascii="Times New Roman" w:hAnsi="Times New Roman" w:cs="Times New Roman" w:eastAsiaTheme="minorEastAsia"/>
          <w:b w:val="0"/>
          <w:bCs w:val="0"/>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“十四五”</w:t>
      </w:r>
      <w:r>
        <w:rPr>
          <w:rFonts w:hint="default" w:ascii="Times New Roman" w:hAnsi="Times New Roman" w:cs="Times New Roman"/>
          <w:color w:val="auto"/>
          <w:kern w:val="2"/>
          <w:sz w:val="28"/>
          <w:szCs w:val="28"/>
          <w:lang w:val="en-US" w:eastAsia="zh-CN" w:bidi="ar-SA"/>
        </w:rPr>
        <w:t>期间，</w:t>
      </w:r>
      <w:r>
        <w:rPr>
          <w:rFonts w:hint="default" w:ascii="Times New Roman" w:hAnsi="Times New Roman" w:cs="Times New Roman" w:eastAsiaTheme="minorEastAsia"/>
          <w:b w:val="0"/>
          <w:bCs w:val="0"/>
          <w:color w:val="auto"/>
          <w:kern w:val="2"/>
          <w:sz w:val="28"/>
          <w:szCs w:val="28"/>
          <w:lang w:val="en-US" w:eastAsia="zh-CN" w:bidi="ar-SA"/>
        </w:rPr>
        <w:t>要</w:t>
      </w:r>
      <w:r>
        <w:rPr>
          <w:rFonts w:hint="default" w:ascii="Times New Roman" w:hAnsi="Times New Roman" w:cs="Times New Roman"/>
          <w:b w:val="0"/>
          <w:bCs w:val="0"/>
          <w:color w:val="auto"/>
          <w:kern w:val="2"/>
          <w:sz w:val="28"/>
          <w:szCs w:val="28"/>
          <w:lang w:val="en-US" w:eastAsia="zh-CN" w:bidi="ar-SA"/>
        </w:rPr>
        <w:t>加快智慧水保建设，</w:t>
      </w:r>
      <w:r>
        <w:rPr>
          <w:rFonts w:hint="default" w:ascii="Times New Roman" w:hAnsi="Times New Roman" w:cs="Times New Roman" w:eastAsiaTheme="minorEastAsia"/>
          <w:b w:val="0"/>
          <w:bCs w:val="0"/>
          <w:color w:val="auto"/>
          <w:kern w:val="2"/>
          <w:sz w:val="28"/>
          <w:szCs w:val="28"/>
          <w:lang w:val="en-US" w:eastAsia="zh-CN" w:bidi="ar-SA"/>
        </w:rPr>
        <w:t>强化水土保持大数据系统应用，推进水土保持与信息化融合发展</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依托贵州水土保持大数据系统，深化“放管服”改革，及时发现、查处违法违规行为</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准确掌握水土保持重点工程选址</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措施布设</w:t>
      </w:r>
      <w:r>
        <w:rPr>
          <w:rFonts w:hint="default" w:ascii="Times New Roman" w:hAnsi="Times New Roman" w:cs="Times New Roman"/>
          <w:b w:val="0"/>
          <w:bCs w:val="0"/>
          <w:color w:val="auto"/>
          <w:kern w:val="2"/>
          <w:sz w:val="28"/>
          <w:szCs w:val="28"/>
          <w:lang w:val="en-US" w:eastAsia="zh-CN" w:bidi="ar-SA"/>
        </w:rPr>
        <w:t>和</w:t>
      </w:r>
      <w:r>
        <w:rPr>
          <w:rFonts w:hint="default" w:ascii="Times New Roman" w:hAnsi="Times New Roman" w:cs="Times New Roman" w:eastAsiaTheme="minorEastAsia"/>
          <w:b w:val="0"/>
          <w:bCs w:val="0"/>
          <w:color w:val="auto"/>
          <w:kern w:val="2"/>
          <w:sz w:val="28"/>
          <w:szCs w:val="28"/>
          <w:lang w:val="en-US" w:eastAsia="zh-CN" w:bidi="ar-SA"/>
        </w:rPr>
        <w:t>建设管理情况</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提升水土保持监测能力</w:t>
      </w:r>
      <w:r>
        <w:rPr>
          <w:rFonts w:hint="default"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持续开展水土流失动态监测，全面掌握水土流失状况及成效。加强</w:t>
      </w:r>
      <w:r>
        <w:rPr>
          <w:rFonts w:hint="default" w:ascii="Times New Roman" w:hAnsi="Times New Roman" w:cs="Times New Roman"/>
          <w:b w:val="0"/>
          <w:bCs w:val="0"/>
          <w:color w:val="auto"/>
          <w:kern w:val="2"/>
          <w:sz w:val="28"/>
          <w:szCs w:val="28"/>
          <w:lang w:val="en-US" w:eastAsia="zh-CN" w:bidi="ar-SA"/>
        </w:rPr>
        <w:t>监测</w:t>
      </w:r>
      <w:r>
        <w:rPr>
          <w:rFonts w:hint="default" w:ascii="Times New Roman" w:hAnsi="Times New Roman" w:cs="Times New Roman" w:eastAsiaTheme="minorEastAsia"/>
          <w:b w:val="0"/>
          <w:bCs w:val="0"/>
          <w:color w:val="auto"/>
          <w:kern w:val="2"/>
          <w:sz w:val="28"/>
          <w:szCs w:val="28"/>
          <w:lang w:val="en-US" w:eastAsia="zh-CN" w:bidi="ar-SA"/>
        </w:rPr>
        <w:t>站点建设和监测成果应用，持续推动监测站点</w:t>
      </w:r>
      <w:r>
        <w:rPr>
          <w:rFonts w:hint="default" w:ascii="Times New Roman" w:hAnsi="Times New Roman" w:cs="Times New Roman"/>
          <w:b w:val="0"/>
          <w:bCs w:val="0"/>
          <w:color w:val="auto"/>
          <w:kern w:val="2"/>
          <w:sz w:val="28"/>
          <w:szCs w:val="28"/>
          <w:lang w:val="en-US" w:eastAsia="zh-CN" w:bidi="ar-SA"/>
        </w:rPr>
        <w:t>自动化</w:t>
      </w:r>
      <w:r>
        <w:rPr>
          <w:rFonts w:hint="default" w:ascii="Times New Roman" w:hAnsi="Times New Roman" w:cs="Times New Roman" w:eastAsiaTheme="minorEastAsia"/>
          <w:b w:val="0"/>
          <w:bCs w:val="0"/>
          <w:color w:val="auto"/>
          <w:kern w:val="2"/>
          <w:sz w:val="28"/>
          <w:szCs w:val="28"/>
          <w:lang w:val="en-US" w:eastAsia="zh-CN" w:bidi="ar-SA"/>
        </w:rPr>
        <w:t>升级改造</w:t>
      </w:r>
      <w:r>
        <w:rPr>
          <w:rFonts w:hint="default" w:ascii="Times New Roman" w:hAnsi="Times New Roman" w:cs="Times New Roman"/>
          <w:b w:val="0"/>
          <w:bCs w:val="0"/>
          <w:color w:val="auto"/>
          <w:kern w:val="2"/>
          <w:sz w:val="28"/>
          <w:szCs w:val="28"/>
          <w:lang w:val="en-US" w:eastAsia="zh-CN" w:bidi="ar-SA"/>
        </w:rPr>
        <w:t>和</w:t>
      </w:r>
      <w:r>
        <w:rPr>
          <w:rFonts w:hint="default" w:ascii="Times New Roman" w:hAnsi="Times New Roman" w:cs="Times New Roman" w:eastAsiaTheme="minorEastAsia"/>
          <w:b w:val="0"/>
          <w:bCs w:val="0"/>
          <w:color w:val="auto"/>
          <w:kern w:val="2"/>
          <w:sz w:val="28"/>
          <w:szCs w:val="28"/>
          <w:lang w:val="en-US" w:eastAsia="zh-CN" w:bidi="ar-SA"/>
        </w:rPr>
        <w:t>水土流失预测预报工作。</w:t>
      </w:r>
      <w:r>
        <w:rPr>
          <w:rFonts w:hint="default" w:ascii="Times New Roman" w:hAnsi="Times New Roman" w:cs="Times New Roman"/>
          <w:color w:val="auto"/>
          <w:sz w:val="28"/>
          <w:szCs w:val="28"/>
        </w:rPr>
        <w:t>抓好水土保持新技术新成果</w:t>
      </w:r>
      <w:r>
        <w:rPr>
          <w:rFonts w:hint="default" w:ascii="Times New Roman" w:hAnsi="Times New Roman" w:cs="Times New Roman"/>
          <w:color w:val="auto"/>
          <w:sz w:val="28"/>
          <w:szCs w:val="28"/>
          <w:lang w:val="en-US" w:eastAsia="zh-CN"/>
        </w:rPr>
        <w:t>的研究和示范推广</w:t>
      </w:r>
      <w:r>
        <w:rPr>
          <w:rFonts w:hint="default" w:ascii="Times New Roman" w:hAnsi="Times New Roman" w:cs="Times New Roman"/>
          <w:color w:val="auto"/>
          <w:sz w:val="28"/>
          <w:szCs w:val="28"/>
        </w:rPr>
        <w:t>，完善水土保持技术标准体系</w:t>
      </w:r>
      <w:r>
        <w:rPr>
          <w:rFonts w:hint="default" w:ascii="Times New Roman" w:hAnsi="Times New Roman" w:cs="Times New Roman"/>
          <w:color w:val="auto"/>
          <w:sz w:val="28"/>
          <w:szCs w:val="28"/>
          <w:lang w:val="en-US" w:eastAsia="zh-CN"/>
        </w:rPr>
        <w:t>建设</w:t>
      </w:r>
      <w:r>
        <w:rPr>
          <w:rFonts w:hint="default" w:ascii="Times New Roman" w:hAnsi="Times New Roman" w:cs="Times New Roman"/>
          <w:color w:val="auto"/>
          <w:sz w:val="28"/>
          <w:szCs w:val="28"/>
        </w:rPr>
        <w:t>。加大水土保持人才</w:t>
      </w:r>
      <w:r>
        <w:rPr>
          <w:rFonts w:hint="default" w:ascii="Times New Roman" w:hAnsi="Times New Roman" w:cs="Times New Roman"/>
          <w:color w:val="auto"/>
          <w:sz w:val="28"/>
          <w:szCs w:val="28"/>
          <w:lang w:val="en-US" w:eastAsia="zh-CN"/>
        </w:rPr>
        <w:t>队伍的</w:t>
      </w:r>
      <w:r>
        <w:rPr>
          <w:rFonts w:hint="default" w:ascii="Times New Roman" w:hAnsi="Times New Roman" w:cs="Times New Roman"/>
          <w:color w:val="auto"/>
          <w:sz w:val="28"/>
          <w:szCs w:val="28"/>
        </w:rPr>
        <w:t>培养和业务素质培训，推动政府购买服务。加强水土保持</w:t>
      </w:r>
      <w:r>
        <w:rPr>
          <w:rFonts w:hint="default" w:ascii="Times New Roman" w:hAnsi="Times New Roman" w:cs="Times New Roman"/>
          <w:color w:val="auto"/>
          <w:sz w:val="28"/>
          <w:szCs w:val="28"/>
          <w:lang w:val="en-US" w:eastAsia="zh-CN"/>
        </w:rPr>
        <w:t>对外</w:t>
      </w:r>
      <w:r>
        <w:rPr>
          <w:rFonts w:hint="default" w:ascii="Times New Roman" w:hAnsi="Times New Roman" w:cs="Times New Roman"/>
          <w:color w:val="auto"/>
          <w:sz w:val="28"/>
          <w:szCs w:val="28"/>
        </w:rPr>
        <w:t>宣传和技术交流</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积极发挥贵州省水土保持委员会、水土保持学会的作用，搭建水土保持科技交流和创新平台，开展水土流失科学治理、水土保持补偿机制、水生态文明、</w:t>
      </w:r>
      <w:r>
        <w:rPr>
          <w:rFonts w:hint="default" w:ascii="Times New Roman" w:hAnsi="Times New Roman" w:cs="Times New Roman"/>
          <w:color w:val="auto"/>
          <w:sz w:val="28"/>
          <w:szCs w:val="28"/>
          <w:lang w:val="en-US" w:eastAsia="zh-CN"/>
        </w:rPr>
        <w:t>碳达峰、碳中和</w:t>
      </w:r>
      <w:r>
        <w:rPr>
          <w:rFonts w:hint="default" w:ascii="Times New Roman" w:hAnsi="Times New Roman" w:cs="Times New Roman"/>
          <w:color w:val="auto"/>
          <w:sz w:val="28"/>
          <w:szCs w:val="28"/>
        </w:rPr>
        <w:t>等方面</w:t>
      </w:r>
      <w:r>
        <w:rPr>
          <w:rFonts w:hint="default" w:ascii="Times New Roman" w:hAnsi="Times New Roman" w:cs="Times New Roman"/>
          <w:color w:val="auto"/>
          <w:sz w:val="28"/>
          <w:szCs w:val="28"/>
          <w:lang w:val="en-US" w:eastAsia="zh-CN"/>
        </w:rPr>
        <w:t>的</w:t>
      </w:r>
      <w:r>
        <w:rPr>
          <w:rFonts w:hint="default" w:ascii="Times New Roman" w:hAnsi="Times New Roman" w:cs="Times New Roman"/>
          <w:color w:val="auto"/>
          <w:sz w:val="28"/>
          <w:szCs w:val="28"/>
        </w:rPr>
        <w:t>专题研究和科技攻关，以科技创新引领我省水土保持高质量发展。</w:t>
      </w:r>
    </w:p>
    <w:p w14:paraId="44B77475">
      <w:pPr>
        <w:pStyle w:val="2"/>
        <w:rPr>
          <w:rFonts w:hint="default"/>
          <w:color w:val="auto"/>
        </w:rPr>
      </w:pPr>
    </w:p>
    <w:p w14:paraId="20A0C98B">
      <w:pPr>
        <w:pStyle w:val="2"/>
        <w:rPr>
          <w:rFonts w:hint="default" w:ascii="Times New Roman" w:hAnsi="Times New Roman" w:cs="Times New Roman"/>
          <w:color w:val="auto"/>
          <w:sz w:val="28"/>
          <w:szCs w:val="28"/>
        </w:rPr>
        <w:sectPr>
          <w:headerReference r:id="rId9" w:type="default"/>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2"/>
    <w:bookmarkEnd w:id="13"/>
    <w:bookmarkEnd w:id="14"/>
    <w:bookmarkEnd w:id="15"/>
    <w:bookmarkEnd w:id="16"/>
    <w:bookmarkEnd w:id="17"/>
    <w:bookmarkEnd w:id="18"/>
    <w:p w14:paraId="132E93EF">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eastAsia" w:ascii="方正小标宋_GBK" w:hAnsi="Times New Roman" w:eastAsia="方正小标宋_GBK" w:cs="Times New Roman"/>
          <w:b/>
          <w:bCs w:val="0"/>
          <w:color w:val="auto"/>
          <w:kern w:val="44"/>
          <w:sz w:val="36"/>
          <w:szCs w:val="36"/>
          <w:lang w:val="en-US" w:eastAsia="zh-CN" w:bidi="ar-SA"/>
        </w:rPr>
      </w:pPr>
      <w:bookmarkStart w:id="77" w:name="_Toc13258"/>
      <w:bookmarkStart w:id="78" w:name="_Toc18172"/>
      <w:bookmarkStart w:id="79" w:name="_Toc23739"/>
      <w:bookmarkStart w:id="80" w:name="_Toc31047"/>
      <w:bookmarkStart w:id="81" w:name="_Toc22436"/>
      <w:r>
        <w:rPr>
          <w:rFonts w:hint="eastAsia" w:ascii="方正小标宋_GBK" w:hAnsi="Times New Roman" w:eastAsia="方正小标宋_GBK" w:cs="Times New Roman"/>
          <w:b/>
          <w:bCs w:val="0"/>
          <w:color w:val="auto"/>
          <w:kern w:val="44"/>
          <w:sz w:val="36"/>
          <w:szCs w:val="36"/>
          <w:lang w:val="en-US" w:eastAsia="zh-CN" w:bidi="ar-SA"/>
        </w:rPr>
        <w:t xml:space="preserve">第三章 </w:t>
      </w:r>
      <w:bookmarkEnd w:id="77"/>
      <w:bookmarkEnd w:id="78"/>
      <w:bookmarkEnd w:id="79"/>
      <w:r>
        <w:rPr>
          <w:rFonts w:hint="eastAsia" w:ascii="方正小标宋_GBK" w:hAnsi="Times New Roman" w:eastAsia="方正小标宋_GBK" w:cs="Times New Roman"/>
          <w:b/>
          <w:bCs w:val="0"/>
          <w:color w:val="auto"/>
          <w:kern w:val="44"/>
          <w:sz w:val="36"/>
          <w:szCs w:val="36"/>
          <w:lang w:val="en-US" w:eastAsia="zh-CN" w:bidi="ar-SA"/>
        </w:rPr>
        <w:t>总体要求</w:t>
      </w:r>
      <w:bookmarkEnd w:id="80"/>
      <w:bookmarkEnd w:id="81"/>
    </w:p>
    <w:p w14:paraId="58A48E7F">
      <w:pPr>
        <w:pStyle w:val="7"/>
        <w:bidi w:val="0"/>
        <w:rPr>
          <w:rFonts w:hint="default" w:ascii="黑体" w:hAnsi="黑体" w:eastAsia="黑体" w:cs="黑体"/>
          <w:color w:val="auto"/>
          <w:sz w:val="32"/>
          <w:szCs w:val="32"/>
          <w:lang w:val="en-US" w:eastAsia="zh-CN"/>
        </w:rPr>
      </w:pPr>
      <w:bookmarkStart w:id="82" w:name="_Toc23353"/>
      <w:bookmarkStart w:id="83" w:name="_Toc22243"/>
      <w:bookmarkStart w:id="84" w:name="_Toc18427"/>
      <w:bookmarkStart w:id="85" w:name="_Toc8095"/>
      <w:bookmarkStart w:id="86" w:name="_Toc20675"/>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指导思想</w:t>
      </w:r>
      <w:bookmarkEnd w:id="82"/>
      <w:bookmarkEnd w:id="83"/>
      <w:bookmarkEnd w:id="84"/>
      <w:bookmarkEnd w:id="85"/>
      <w:bookmarkEnd w:id="86"/>
    </w:p>
    <w:p w14:paraId="716A94D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b w:val="0"/>
          <w:snapToGrid/>
          <w:color w:val="auto"/>
          <w:kern w:val="0"/>
          <w:sz w:val="28"/>
          <w:szCs w:val="28"/>
          <w:lang w:val="en-US" w:eastAsia="zh-CN" w:bidi="en-US"/>
        </w:rPr>
      </w:pPr>
      <w:r>
        <w:rPr>
          <w:rFonts w:hint="default" w:ascii="Times New Roman" w:hAnsi="Times New Roman" w:cs="Times New Roman" w:eastAsiaTheme="minorEastAsia"/>
          <w:color w:val="auto"/>
          <w:kern w:val="0"/>
          <w:sz w:val="28"/>
          <w:szCs w:val="28"/>
          <w:lang w:eastAsia="zh-CN" w:bidi="en-US"/>
        </w:rPr>
        <w:t>以习近平新时代中国特色社会主义思想为指导，全面贯彻党的十九大</w:t>
      </w:r>
      <w:r>
        <w:rPr>
          <w:rFonts w:hint="default" w:ascii="Times New Roman" w:hAnsi="Times New Roman" w:cs="Times New Roman"/>
          <w:color w:val="auto"/>
          <w:kern w:val="0"/>
          <w:sz w:val="28"/>
          <w:szCs w:val="28"/>
          <w:lang w:eastAsia="zh-CN" w:bidi="en-US"/>
        </w:rPr>
        <w:t>、</w:t>
      </w:r>
      <w:r>
        <w:rPr>
          <w:rFonts w:hint="default" w:ascii="Times New Roman" w:hAnsi="Times New Roman" w:cs="Times New Roman" w:eastAsiaTheme="minorEastAsia"/>
          <w:color w:val="auto"/>
          <w:kern w:val="0"/>
          <w:sz w:val="28"/>
          <w:szCs w:val="28"/>
          <w:lang w:eastAsia="zh-CN" w:bidi="en-US"/>
        </w:rPr>
        <w:t>十九届二中、三中、四中、五中、</w:t>
      </w:r>
      <w:r>
        <w:rPr>
          <w:rFonts w:hint="default" w:ascii="Times New Roman" w:hAnsi="Times New Roman" w:cs="Times New Roman" w:eastAsiaTheme="minorEastAsia"/>
          <w:color w:val="auto"/>
          <w:kern w:val="0"/>
          <w:sz w:val="28"/>
          <w:szCs w:val="28"/>
          <w:lang w:val="en-US" w:eastAsia="zh-CN" w:bidi="en-US"/>
        </w:rPr>
        <w:t>六中</w:t>
      </w:r>
      <w:r>
        <w:rPr>
          <w:rFonts w:hint="default" w:ascii="Times New Roman" w:hAnsi="Times New Roman" w:cs="Times New Roman" w:eastAsiaTheme="minorEastAsia"/>
          <w:color w:val="auto"/>
          <w:kern w:val="0"/>
          <w:sz w:val="28"/>
          <w:szCs w:val="28"/>
          <w:lang w:eastAsia="zh-CN" w:bidi="en-US"/>
        </w:rPr>
        <w:t>全会精神</w:t>
      </w:r>
      <w:r>
        <w:rPr>
          <w:rFonts w:hint="default" w:ascii="Times New Roman" w:hAnsi="Times New Roman" w:cs="Times New Roman"/>
          <w:color w:val="auto"/>
          <w:kern w:val="0"/>
          <w:sz w:val="28"/>
          <w:szCs w:val="28"/>
          <w:lang w:val="en-US" w:eastAsia="zh-CN" w:bidi="en-US"/>
        </w:rPr>
        <w:t>以及</w:t>
      </w:r>
      <w:r>
        <w:rPr>
          <w:rFonts w:hint="default" w:ascii="Times New Roman" w:hAnsi="Times New Roman" w:cs="Times New Roman" w:eastAsiaTheme="minorEastAsia"/>
          <w:color w:val="auto"/>
          <w:kern w:val="0"/>
          <w:sz w:val="28"/>
          <w:szCs w:val="28"/>
          <w:lang w:eastAsia="zh-CN" w:bidi="en-US"/>
        </w:rPr>
        <w:t>习近平总书记视察贵州重要讲话精神</w:t>
      </w:r>
      <w:r>
        <w:rPr>
          <w:rFonts w:hint="default" w:ascii="Times New Roman" w:hAnsi="Times New Roman" w:cs="Times New Roman"/>
          <w:color w:val="auto"/>
          <w:kern w:val="0"/>
          <w:sz w:val="28"/>
          <w:szCs w:val="28"/>
          <w:lang w:eastAsia="zh-CN" w:bidi="en-US"/>
        </w:rPr>
        <w:t>，</w:t>
      </w:r>
      <w:r>
        <w:rPr>
          <w:rFonts w:hint="default" w:ascii="Times New Roman" w:hAnsi="Times New Roman" w:cs="Times New Roman" w:eastAsiaTheme="minorEastAsia"/>
          <w:color w:val="auto"/>
          <w:kern w:val="0"/>
          <w:sz w:val="28"/>
          <w:szCs w:val="28"/>
          <w:lang w:eastAsia="zh-CN" w:bidi="en-US"/>
        </w:rPr>
        <w:t>牢固树立</w:t>
      </w:r>
      <w:r>
        <w:rPr>
          <w:rFonts w:hint="default" w:ascii="Times New Roman" w:hAnsi="Times New Roman" w:cs="Times New Roman"/>
          <w:color w:val="auto"/>
          <w:kern w:val="0"/>
          <w:sz w:val="28"/>
          <w:szCs w:val="28"/>
          <w:lang w:eastAsia="zh-CN" w:bidi="en-US"/>
        </w:rPr>
        <w:t>“</w:t>
      </w:r>
      <w:r>
        <w:rPr>
          <w:rFonts w:hint="default" w:ascii="Times New Roman" w:hAnsi="Times New Roman" w:cs="Times New Roman" w:eastAsiaTheme="minorEastAsia"/>
          <w:color w:val="auto"/>
          <w:kern w:val="0"/>
          <w:sz w:val="28"/>
          <w:szCs w:val="28"/>
          <w:lang w:eastAsia="zh-CN" w:bidi="en-US"/>
        </w:rPr>
        <w:t>绿水青山就是金山银山</w:t>
      </w:r>
      <w:r>
        <w:rPr>
          <w:rFonts w:hint="default" w:ascii="Times New Roman" w:hAnsi="Times New Roman" w:cs="Times New Roman"/>
          <w:color w:val="auto"/>
          <w:kern w:val="0"/>
          <w:sz w:val="28"/>
          <w:szCs w:val="28"/>
          <w:lang w:eastAsia="zh-CN" w:bidi="en-US"/>
        </w:rPr>
        <w:t>”</w:t>
      </w:r>
      <w:r>
        <w:rPr>
          <w:rFonts w:hint="default" w:ascii="Times New Roman" w:hAnsi="Times New Roman" w:cs="Times New Roman" w:eastAsiaTheme="minorEastAsia"/>
          <w:color w:val="auto"/>
          <w:kern w:val="0"/>
          <w:sz w:val="28"/>
          <w:szCs w:val="28"/>
          <w:lang w:eastAsia="zh-CN" w:bidi="en-US"/>
        </w:rPr>
        <w:t>的理念</w:t>
      </w:r>
      <w:r>
        <w:rPr>
          <w:rFonts w:hint="default" w:ascii="Times New Roman" w:hAnsi="Times New Roman" w:cs="Times New Roman"/>
          <w:color w:val="auto"/>
          <w:kern w:val="0"/>
          <w:sz w:val="28"/>
          <w:szCs w:val="28"/>
          <w:lang w:val="en-US" w:eastAsia="zh-CN" w:bidi="en-US"/>
        </w:rPr>
        <w:t>和以人民为中心的发展思想</w:t>
      </w:r>
      <w:r>
        <w:rPr>
          <w:rFonts w:hint="default" w:ascii="Times New Roman" w:hAnsi="Times New Roman" w:cs="Times New Roman" w:eastAsiaTheme="minorEastAsia"/>
          <w:color w:val="auto"/>
          <w:kern w:val="0"/>
          <w:sz w:val="28"/>
          <w:szCs w:val="28"/>
          <w:lang w:eastAsia="zh-CN" w:bidi="en-US"/>
        </w:rPr>
        <w:t>，</w:t>
      </w:r>
      <w:r>
        <w:rPr>
          <w:rFonts w:hint="default" w:ascii="Times New Roman" w:hAnsi="Times New Roman" w:cs="Times New Roman"/>
          <w:color w:val="auto"/>
          <w:kern w:val="0"/>
          <w:sz w:val="28"/>
          <w:szCs w:val="28"/>
          <w:lang w:val="en-US" w:eastAsia="zh-CN" w:bidi="en-US"/>
        </w:rPr>
        <w:t>积极践行</w:t>
      </w:r>
      <w:r>
        <w:rPr>
          <w:rFonts w:hint="default" w:ascii="Times New Roman" w:hAnsi="Times New Roman" w:cs="Times New Roman" w:eastAsiaTheme="minorEastAsia"/>
          <w:color w:val="auto"/>
          <w:kern w:val="0"/>
          <w:sz w:val="28"/>
          <w:szCs w:val="28"/>
          <w:lang w:eastAsia="zh-CN" w:bidi="en-US"/>
        </w:rPr>
        <w:t>《贵州省国民经济和社会发展第十四个五年规划》</w:t>
      </w:r>
      <w:r>
        <w:rPr>
          <w:rFonts w:hint="default" w:ascii="Times New Roman" w:hAnsi="Times New Roman" w:cs="Times New Roman" w:eastAsiaTheme="minorEastAsia"/>
          <w:color w:val="auto"/>
          <w:kern w:val="0"/>
          <w:sz w:val="28"/>
          <w:szCs w:val="28"/>
          <w:lang w:val="en-US" w:eastAsia="zh-CN" w:bidi="en-US"/>
        </w:rPr>
        <w:t>提出的</w:t>
      </w:r>
      <w:r>
        <w:rPr>
          <w:rFonts w:hint="default" w:ascii="Times New Roman" w:hAnsi="Times New Roman" w:cs="Times New Roman" w:eastAsiaTheme="minorEastAsia"/>
          <w:b w:val="0"/>
          <w:snapToGrid/>
          <w:color w:val="auto"/>
          <w:kern w:val="0"/>
          <w:sz w:val="28"/>
          <w:szCs w:val="28"/>
          <w:lang w:val="en-US" w:eastAsia="zh-CN" w:bidi="en-US"/>
        </w:rPr>
        <w:t>“一二三四”总体</w:t>
      </w:r>
      <w:r>
        <w:rPr>
          <w:rFonts w:hint="default" w:ascii="Times New Roman" w:hAnsi="Times New Roman" w:cs="Times New Roman"/>
          <w:b w:val="0"/>
          <w:snapToGrid/>
          <w:color w:val="auto"/>
          <w:kern w:val="0"/>
          <w:sz w:val="28"/>
          <w:szCs w:val="28"/>
          <w:lang w:val="en-US" w:eastAsia="zh-CN" w:bidi="en-US"/>
        </w:rPr>
        <w:t>布局</w:t>
      </w:r>
      <w:r>
        <w:rPr>
          <w:rFonts w:hint="default" w:ascii="Times New Roman" w:hAnsi="Times New Roman" w:cs="Times New Roman" w:eastAsiaTheme="minorEastAsia"/>
          <w:b w:val="0"/>
          <w:snapToGrid/>
          <w:color w:val="auto"/>
          <w:kern w:val="0"/>
          <w:sz w:val="28"/>
          <w:szCs w:val="28"/>
          <w:lang w:val="en-US" w:eastAsia="zh-CN" w:bidi="en-US"/>
        </w:rPr>
        <w:t>思路</w:t>
      </w:r>
      <w:r>
        <w:rPr>
          <w:rFonts w:hint="default" w:ascii="Times New Roman" w:hAnsi="Times New Roman" w:cs="Times New Roman"/>
          <w:b w:val="0"/>
          <w:snapToGrid/>
          <w:color w:val="auto"/>
          <w:kern w:val="0"/>
          <w:sz w:val="28"/>
          <w:szCs w:val="28"/>
          <w:lang w:val="en-US" w:eastAsia="zh-CN" w:bidi="en-US"/>
        </w:rPr>
        <w:t>，按照</w:t>
      </w:r>
      <w:r>
        <w:rPr>
          <w:rFonts w:hint="default" w:ascii="Times New Roman" w:hAnsi="Times New Roman" w:cs="Times New Roman" w:eastAsiaTheme="minorEastAsia"/>
          <w:b w:val="0"/>
          <w:snapToGrid/>
          <w:color w:val="auto"/>
          <w:kern w:val="0"/>
          <w:sz w:val="28"/>
          <w:szCs w:val="28"/>
          <w:lang w:val="en-US" w:eastAsia="zh-CN" w:bidi="en-US"/>
        </w:rPr>
        <w:t>生态环境建设高质量发展、乡村振兴</w:t>
      </w:r>
      <w:r>
        <w:rPr>
          <w:rFonts w:hint="default" w:ascii="Times New Roman" w:hAnsi="Times New Roman" w:cs="Times New Roman"/>
          <w:b w:val="0"/>
          <w:snapToGrid/>
          <w:color w:val="auto"/>
          <w:kern w:val="0"/>
          <w:sz w:val="28"/>
          <w:szCs w:val="28"/>
          <w:lang w:val="en-US" w:eastAsia="zh-CN" w:bidi="en-US"/>
        </w:rPr>
        <w:t>、围绕</w:t>
      </w:r>
      <w:r>
        <w:rPr>
          <w:rFonts w:hint="default" w:ascii="Times New Roman" w:hAnsi="Times New Roman" w:cs="Times New Roman" w:eastAsiaTheme="minorEastAsia"/>
          <w:b w:val="0"/>
          <w:snapToGrid/>
          <w:color w:val="auto"/>
          <w:kern w:val="0"/>
          <w:sz w:val="28"/>
          <w:szCs w:val="28"/>
          <w:lang w:val="en-US" w:eastAsia="zh-CN" w:bidi="en-US"/>
        </w:rPr>
        <w:t>“四新”抓“四化”等省委、省政府重大</w:t>
      </w:r>
      <w:r>
        <w:rPr>
          <w:rFonts w:hint="default" w:ascii="Times New Roman" w:hAnsi="Times New Roman" w:cs="Times New Roman"/>
          <w:b w:val="0"/>
          <w:snapToGrid/>
          <w:color w:val="auto"/>
          <w:kern w:val="0"/>
          <w:sz w:val="28"/>
          <w:szCs w:val="28"/>
          <w:lang w:val="en-US" w:eastAsia="zh-CN" w:bidi="en-US"/>
        </w:rPr>
        <w:t>战略</w:t>
      </w:r>
      <w:r>
        <w:rPr>
          <w:rFonts w:hint="default" w:ascii="Times New Roman" w:hAnsi="Times New Roman" w:cs="Times New Roman" w:eastAsiaTheme="minorEastAsia"/>
          <w:b w:val="0"/>
          <w:snapToGrid/>
          <w:color w:val="auto"/>
          <w:kern w:val="0"/>
          <w:sz w:val="28"/>
          <w:szCs w:val="28"/>
          <w:lang w:val="en-US" w:eastAsia="zh-CN" w:bidi="en-US"/>
        </w:rPr>
        <w:t>部署，</w:t>
      </w:r>
      <w:r>
        <w:rPr>
          <w:rFonts w:hint="default" w:ascii="Times New Roman" w:hAnsi="Times New Roman" w:cs="Times New Roman"/>
          <w:b w:val="0"/>
          <w:snapToGrid/>
          <w:color w:val="auto"/>
          <w:kern w:val="0"/>
          <w:sz w:val="28"/>
          <w:szCs w:val="28"/>
          <w:lang w:val="en-US" w:eastAsia="zh-CN" w:bidi="en-US"/>
        </w:rPr>
        <w:t>贯彻执行</w:t>
      </w:r>
      <w:r>
        <w:rPr>
          <w:rFonts w:hint="default" w:ascii="Times New Roman" w:hAnsi="Times New Roman" w:cs="Times New Roman" w:eastAsiaTheme="minorEastAsia"/>
          <w:b w:val="0"/>
          <w:snapToGrid/>
          <w:color w:val="auto"/>
          <w:kern w:val="0"/>
          <w:sz w:val="28"/>
          <w:szCs w:val="28"/>
          <w:lang w:val="en-US" w:eastAsia="zh-CN" w:bidi="en-US"/>
        </w:rPr>
        <w:t>“重在保护、要在治理”的战略要求，以</w:t>
      </w:r>
      <w:r>
        <w:rPr>
          <w:rFonts w:hint="default" w:ascii="Times New Roman" w:hAnsi="Times New Roman" w:cs="Times New Roman"/>
          <w:b w:val="0"/>
          <w:snapToGrid/>
          <w:color w:val="auto"/>
          <w:kern w:val="0"/>
          <w:sz w:val="28"/>
          <w:szCs w:val="28"/>
          <w:lang w:val="en-US" w:eastAsia="zh-CN" w:bidi="en-US"/>
        </w:rPr>
        <w:t>水土保持率</w:t>
      </w:r>
      <w:r>
        <w:rPr>
          <w:rFonts w:hint="default" w:ascii="Times New Roman" w:hAnsi="Times New Roman" w:cs="Times New Roman" w:eastAsiaTheme="minorEastAsia"/>
          <w:b w:val="0"/>
          <w:snapToGrid/>
          <w:color w:val="auto"/>
          <w:kern w:val="0"/>
          <w:sz w:val="28"/>
          <w:szCs w:val="28"/>
          <w:lang w:val="en-US" w:eastAsia="zh-CN" w:bidi="en-US"/>
        </w:rPr>
        <w:t>为目标，以控制水土流失改善生态环境为手段，以巩固脱贫攻坚、促进乡村振兴和美丽乡村建设为根本出发点和落脚点，坚定不移贯彻创新、协调、绿色、开放、共享的新发展理念</w:t>
      </w:r>
      <w:r>
        <w:rPr>
          <w:rFonts w:hint="default" w:ascii="Times New Roman" w:hAnsi="Times New Roman" w:cs="Times New Roman"/>
          <w:b w:val="0"/>
          <w:snapToGrid/>
          <w:color w:val="auto"/>
          <w:kern w:val="0"/>
          <w:sz w:val="28"/>
          <w:szCs w:val="28"/>
          <w:lang w:val="en-US" w:eastAsia="zh-CN" w:bidi="en-US"/>
        </w:rPr>
        <w:t>。</w:t>
      </w:r>
    </w:p>
    <w:p w14:paraId="3890ADA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eastAsiaTheme="minorEastAsia"/>
          <w:b w:val="0"/>
          <w:snapToGrid/>
          <w:color w:val="auto"/>
          <w:kern w:val="0"/>
          <w:sz w:val="28"/>
          <w:szCs w:val="28"/>
          <w:lang w:val="en-US" w:eastAsia="zh-CN" w:bidi="en-US"/>
        </w:rPr>
      </w:pPr>
      <w:r>
        <w:rPr>
          <w:rFonts w:hint="default" w:ascii="Times New Roman" w:hAnsi="Times New Roman" w:cs="Times New Roman" w:eastAsiaTheme="minorEastAsia"/>
          <w:b w:val="0"/>
          <w:snapToGrid/>
          <w:color w:val="auto"/>
          <w:kern w:val="0"/>
          <w:sz w:val="28"/>
          <w:szCs w:val="28"/>
          <w:lang w:val="en-US" w:eastAsia="zh-CN" w:bidi="en-US"/>
        </w:rPr>
        <w:t>全面规划、突出重点、以人为本、注重科技，以</w:t>
      </w:r>
      <w:r>
        <w:rPr>
          <w:rFonts w:hint="default" w:ascii="Times New Roman" w:hAnsi="Times New Roman" w:cs="Times New Roman" w:eastAsiaTheme="minorEastAsia"/>
          <w:color w:val="auto"/>
          <w:kern w:val="2"/>
          <w:sz w:val="28"/>
          <w:szCs w:val="28"/>
          <w:lang w:val="en-US" w:eastAsia="zh-CN" w:bidi="ar-SA"/>
        </w:rPr>
        <w:t>长江重点生态区生态保护和修复工程</w:t>
      </w:r>
      <w:r>
        <w:rPr>
          <w:rFonts w:hint="default" w:ascii="Times New Roman" w:hAnsi="Times New Roman" w:cs="Times New Roman"/>
          <w:color w:val="auto"/>
          <w:kern w:val="2"/>
          <w:sz w:val="28"/>
          <w:szCs w:val="28"/>
          <w:lang w:val="en-US" w:eastAsia="zh-CN" w:bidi="ar-SA"/>
        </w:rPr>
        <w:t>、国家水土流失重点治理工程、</w:t>
      </w:r>
      <w:r>
        <w:rPr>
          <w:rFonts w:hint="default" w:ascii="Times New Roman" w:hAnsi="Times New Roman" w:cs="Times New Roman" w:eastAsiaTheme="minorEastAsia"/>
          <w:color w:val="auto"/>
          <w:kern w:val="2"/>
          <w:sz w:val="28"/>
          <w:szCs w:val="28"/>
          <w:lang w:val="en-US" w:eastAsia="zh-CN" w:bidi="ar-SA"/>
        </w:rPr>
        <w:t>贵州省统筹推进山水林</w:t>
      </w:r>
      <w:r>
        <w:rPr>
          <w:rFonts w:hint="default" w:ascii="Times New Roman" w:hAnsi="Times New Roman" w:cs="Times New Roman" w:eastAsiaTheme="minorEastAsia"/>
          <w:b w:val="0"/>
          <w:snapToGrid/>
          <w:color w:val="auto"/>
          <w:kern w:val="0"/>
          <w:sz w:val="28"/>
          <w:szCs w:val="28"/>
          <w:lang w:val="en-US" w:eastAsia="zh-CN" w:bidi="en-US"/>
        </w:rPr>
        <w:t>田湖草系统治理行动等重大生态工程为</w:t>
      </w:r>
      <w:r>
        <w:rPr>
          <w:rFonts w:hint="default" w:ascii="Times New Roman" w:hAnsi="Times New Roman" w:cs="Times New Roman"/>
          <w:b w:val="0"/>
          <w:snapToGrid/>
          <w:color w:val="auto"/>
          <w:kern w:val="0"/>
          <w:sz w:val="28"/>
          <w:szCs w:val="28"/>
          <w:lang w:val="en-US" w:eastAsia="zh-CN" w:bidi="en-US"/>
        </w:rPr>
        <w:t>载体</w:t>
      </w:r>
      <w:r>
        <w:rPr>
          <w:rFonts w:hint="default" w:ascii="Times New Roman" w:hAnsi="Times New Roman" w:cs="Times New Roman" w:eastAsiaTheme="minorEastAsia"/>
          <w:b w:val="0"/>
          <w:snapToGrid/>
          <w:color w:val="auto"/>
          <w:kern w:val="0"/>
          <w:sz w:val="28"/>
          <w:szCs w:val="28"/>
          <w:lang w:val="en-US" w:eastAsia="zh-CN" w:bidi="en-US"/>
        </w:rPr>
        <w:t>，健全制度</w:t>
      </w:r>
      <w:r>
        <w:rPr>
          <w:rFonts w:hint="default" w:ascii="Times New Roman" w:hAnsi="Times New Roman" w:cs="Times New Roman"/>
          <w:b w:val="0"/>
          <w:snapToGrid/>
          <w:color w:val="auto"/>
          <w:kern w:val="0"/>
          <w:sz w:val="28"/>
          <w:szCs w:val="28"/>
          <w:lang w:val="en-US" w:eastAsia="zh-CN" w:bidi="en-US"/>
        </w:rPr>
        <w:t>、</w:t>
      </w:r>
      <w:r>
        <w:rPr>
          <w:rFonts w:hint="default" w:ascii="Times New Roman" w:hAnsi="Times New Roman" w:cs="Times New Roman" w:eastAsiaTheme="minorEastAsia"/>
          <w:b w:val="0"/>
          <w:snapToGrid/>
          <w:color w:val="auto"/>
          <w:kern w:val="0"/>
          <w:sz w:val="28"/>
          <w:szCs w:val="28"/>
          <w:lang w:val="en-US" w:eastAsia="zh-CN" w:bidi="en-US"/>
        </w:rPr>
        <w:t>强化执</w:t>
      </w:r>
      <w:r>
        <w:rPr>
          <w:rFonts w:hint="default" w:ascii="Times New Roman" w:hAnsi="Times New Roman" w:cs="Times New Roman"/>
          <w:b w:val="0"/>
          <w:snapToGrid/>
          <w:color w:val="auto"/>
          <w:kern w:val="0"/>
          <w:sz w:val="28"/>
          <w:szCs w:val="28"/>
          <w:lang w:val="en-US" w:eastAsia="zh-CN" w:bidi="en-US"/>
        </w:rPr>
        <w:t>行、</w:t>
      </w:r>
      <w:r>
        <w:rPr>
          <w:rFonts w:hint="default" w:ascii="Times New Roman" w:hAnsi="Times New Roman" w:cs="Times New Roman" w:eastAsiaTheme="minorEastAsia"/>
          <w:b w:val="0"/>
          <w:snapToGrid/>
          <w:color w:val="auto"/>
          <w:kern w:val="0"/>
          <w:sz w:val="28"/>
          <w:szCs w:val="28"/>
          <w:lang w:val="en-US" w:eastAsia="zh-CN" w:bidi="en-US"/>
        </w:rPr>
        <w:t>明晰权责、协同高效，统筹山水林田湖草沙系统治理，预防结合、科学布局，优化和提升喀斯特山区水土保持生态</w:t>
      </w:r>
      <w:r>
        <w:rPr>
          <w:rFonts w:hint="default" w:ascii="Times New Roman" w:hAnsi="Times New Roman" w:cs="Times New Roman"/>
          <w:b w:val="0"/>
          <w:snapToGrid/>
          <w:color w:val="auto"/>
          <w:kern w:val="0"/>
          <w:sz w:val="28"/>
          <w:szCs w:val="28"/>
          <w:lang w:val="en-US" w:eastAsia="zh-CN" w:bidi="en-US"/>
        </w:rPr>
        <w:t>系统</w:t>
      </w:r>
      <w:r>
        <w:rPr>
          <w:rFonts w:hint="default" w:ascii="Times New Roman" w:hAnsi="Times New Roman" w:cs="Times New Roman" w:eastAsiaTheme="minorEastAsia"/>
          <w:b w:val="0"/>
          <w:snapToGrid/>
          <w:color w:val="auto"/>
          <w:kern w:val="0"/>
          <w:sz w:val="28"/>
          <w:szCs w:val="28"/>
          <w:lang w:val="en-US" w:eastAsia="zh-CN" w:bidi="en-US"/>
        </w:rPr>
        <w:t>建设，实现水土资源的可持续利用和经济社会的可持续发展，为人民提供更加优质的水土保持生态产品，为加快贵州生态文明建设</w:t>
      </w:r>
      <w:r>
        <w:rPr>
          <w:rFonts w:hint="default" w:ascii="Times New Roman" w:hAnsi="Times New Roman" w:cs="Times New Roman"/>
          <w:b w:val="0"/>
          <w:snapToGrid/>
          <w:color w:val="auto"/>
          <w:kern w:val="0"/>
          <w:sz w:val="28"/>
          <w:szCs w:val="28"/>
          <w:lang w:val="en-US" w:eastAsia="zh-CN" w:bidi="en-US"/>
        </w:rPr>
        <w:t>，</w:t>
      </w:r>
      <w:r>
        <w:rPr>
          <w:rFonts w:hint="default" w:ascii="Times New Roman" w:hAnsi="Times New Roman" w:cs="Times New Roman" w:eastAsiaTheme="minorEastAsia"/>
          <w:b w:val="0"/>
          <w:snapToGrid/>
          <w:color w:val="auto"/>
          <w:kern w:val="0"/>
          <w:sz w:val="28"/>
          <w:szCs w:val="28"/>
          <w:lang w:val="en-US" w:eastAsia="zh-CN" w:bidi="en-US"/>
        </w:rPr>
        <w:t>筑牢长江中上游重要生态屏障、建设山清水秀美丽之地提供坚实保障。</w:t>
      </w:r>
    </w:p>
    <w:p w14:paraId="00CEC089">
      <w:pPr>
        <w:pStyle w:val="7"/>
        <w:bidi w:val="0"/>
        <w:rPr>
          <w:rFonts w:hint="default" w:ascii="黑体" w:hAnsi="黑体" w:eastAsia="黑体" w:cs="黑体"/>
          <w:color w:val="auto"/>
          <w:sz w:val="32"/>
          <w:szCs w:val="32"/>
          <w:lang w:val="en-US" w:eastAsia="zh-CN"/>
        </w:rPr>
      </w:pPr>
      <w:bookmarkStart w:id="87" w:name="_Toc4271"/>
      <w:bookmarkStart w:id="88" w:name="_Toc27652"/>
      <w:bookmarkStart w:id="89" w:name="_Toc12542"/>
      <w:bookmarkStart w:id="90" w:name="_Toc4245"/>
      <w:bookmarkStart w:id="91" w:name="_Toc21985"/>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基本原则</w:t>
      </w:r>
      <w:bookmarkEnd w:id="87"/>
      <w:bookmarkEnd w:id="88"/>
      <w:bookmarkEnd w:id="89"/>
      <w:bookmarkEnd w:id="90"/>
      <w:bookmarkEnd w:id="91"/>
    </w:p>
    <w:p w14:paraId="6B966B2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eastAsiaTheme="minorEastAsia"/>
          <w:b w:val="0"/>
          <w:snapToGrid/>
          <w:color w:val="auto"/>
          <w:kern w:val="0"/>
          <w:sz w:val="28"/>
          <w:szCs w:val="28"/>
          <w:lang w:val="en-US" w:eastAsia="zh-CN" w:bidi="en-US"/>
        </w:rPr>
      </w:pPr>
      <w:r>
        <w:rPr>
          <w:rFonts w:hint="default" w:ascii="Times New Roman" w:hAnsi="Times New Roman" w:cs="Times New Roman" w:eastAsiaTheme="minorEastAsia"/>
          <w:b/>
          <w:bCs/>
          <w:snapToGrid/>
          <w:color w:val="auto"/>
          <w:kern w:val="0"/>
          <w:sz w:val="28"/>
          <w:szCs w:val="28"/>
          <w:lang w:val="en-US" w:eastAsia="zh-CN" w:bidi="en-US"/>
        </w:rPr>
        <w:t>坚持以人民为中心。</w:t>
      </w:r>
      <w:r>
        <w:rPr>
          <w:rFonts w:hint="default" w:ascii="Times New Roman" w:hAnsi="Times New Roman" w:cs="Times New Roman" w:eastAsiaTheme="minorEastAsia"/>
          <w:b w:val="0"/>
          <w:snapToGrid/>
          <w:color w:val="auto"/>
          <w:kern w:val="0"/>
          <w:sz w:val="28"/>
          <w:szCs w:val="28"/>
          <w:lang w:val="en-US" w:eastAsia="zh-CN" w:bidi="en-US"/>
        </w:rPr>
        <w:t>坚持发展为了人民、发展依靠人民、发展成果由人民共享，聚焦人民对美好生活和优美生态的需要，加快推进水土流失综合治理，依法有效强化水土保持监管，创造更多优质的生态产品，切实增进民生福祉，不断增强人民群众的获得感、幸福感、安全感。</w:t>
      </w:r>
    </w:p>
    <w:p w14:paraId="7989A73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eastAsiaTheme="minorEastAsia"/>
          <w:b w:val="0"/>
          <w:snapToGrid/>
          <w:color w:val="auto"/>
          <w:kern w:val="0"/>
          <w:sz w:val="28"/>
          <w:szCs w:val="28"/>
          <w:lang w:val="en-US" w:eastAsia="zh-CN" w:bidi="en-US"/>
        </w:rPr>
      </w:pPr>
      <w:r>
        <w:rPr>
          <w:rFonts w:hint="default" w:ascii="Times New Roman" w:hAnsi="Times New Roman" w:cs="Times New Roman" w:eastAsiaTheme="minorEastAsia"/>
          <w:b/>
          <w:bCs/>
          <w:snapToGrid/>
          <w:color w:val="auto"/>
          <w:kern w:val="0"/>
          <w:sz w:val="28"/>
          <w:szCs w:val="28"/>
          <w:lang w:val="en-US" w:eastAsia="zh-CN" w:bidi="en-US"/>
        </w:rPr>
        <w:t>坚持服务国家战略。</w:t>
      </w:r>
      <w:r>
        <w:rPr>
          <w:rFonts w:hint="default" w:ascii="Times New Roman" w:hAnsi="Times New Roman" w:cs="Times New Roman" w:eastAsiaTheme="minorEastAsia"/>
          <w:b w:val="0"/>
          <w:snapToGrid/>
          <w:color w:val="auto"/>
          <w:kern w:val="0"/>
          <w:sz w:val="28"/>
          <w:szCs w:val="28"/>
          <w:lang w:val="en-US" w:eastAsia="zh-CN" w:bidi="en-US"/>
        </w:rPr>
        <w:t>立足全面建设社会主义现代化国家大局，服务国土空间开发保护、农业农村优先发展、区域协调发展、新型城镇化协调发展，构建水土保持高质量发展新格局，发挥水土保持提高农业综合生产能力、提升生态系统质量和稳定性、促进绿色发展的重要作用。</w:t>
      </w:r>
    </w:p>
    <w:p w14:paraId="3D7859A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eastAsiaTheme="minorEastAsia"/>
          <w:b w:val="0"/>
          <w:snapToGrid/>
          <w:color w:val="auto"/>
          <w:kern w:val="0"/>
          <w:sz w:val="28"/>
          <w:szCs w:val="28"/>
          <w:lang w:val="en-US" w:eastAsia="zh-CN" w:bidi="en-US"/>
        </w:rPr>
      </w:pPr>
      <w:r>
        <w:rPr>
          <w:rFonts w:hint="default" w:ascii="Times New Roman" w:hAnsi="Times New Roman" w:cs="Times New Roman" w:eastAsiaTheme="minorEastAsia"/>
          <w:b/>
          <w:bCs/>
          <w:snapToGrid/>
          <w:color w:val="auto"/>
          <w:kern w:val="0"/>
          <w:sz w:val="28"/>
          <w:szCs w:val="28"/>
          <w:lang w:val="en-US" w:eastAsia="zh-CN" w:bidi="en-US"/>
        </w:rPr>
        <w:t>坚持科学治理。</w:t>
      </w:r>
      <w:r>
        <w:rPr>
          <w:rFonts w:hint="default" w:ascii="Times New Roman" w:hAnsi="Times New Roman" w:cs="Times New Roman" w:eastAsiaTheme="minorEastAsia"/>
          <w:b w:val="0"/>
          <w:snapToGrid/>
          <w:color w:val="auto"/>
          <w:kern w:val="0"/>
          <w:sz w:val="28"/>
          <w:szCs w:val="28"/>
          <w:lang w:val="en-US" w:eastAsia="zh-CN" w:bidi="en-US"/>
        </w:rPr>
        <w:t>坚持山水林田湖草沙生命共同体理念，尊重自然、顺应自然、保护自然，坚持问题导向、目标导向、结果导向，创新水土流失综合治理模式，以大中流域为骨干，以小流域为单元，因地制宜，精准施策，科学配置工程、林草和耕作等措施，提升治理质量和效益。</w:t>
      </w:r>
    </w:p>
    <w:p w14:paraId="348B688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eastAsiaTheme="minorEastAsia"/>
          <w:b w:val="0"/>
          <w:snapToGrid/>
          <w:color w:val="auto"/>
          <w:kern w:val="0"/>
          <w:sz w:val="28"/>
          <w:szCs w:val="28"/>
          <w:lang w:val="en-US" w:eastAsia="zh-CN" w:bidi="en-US"/>
        </w:rPr>
      </w:pPr>
      <w:r>
        <w:rPr>
          <w:rFonts w:hint="default" w:ascii="Times New Roman" w:hAnsi="Times New Roman" w:cs="Times New Roman" w:eastAsiaTheme="minorEastAsia"/>
          <w:b/>
          <w:bCs/>
          <w:snapToGrid/>
          <w:color w:val="auto"/>
          <w:kern w:val="0"/>
          <w:sz w:val="28"/>
          <w:szCs w:val="28"/>
          <w:lang w:val="en-US" w:eastAsia="zh-CN" w:bidi="en-US"/>
        </w:rPr>
        <w:t>坚持科技引领。</w:t>
      </w:r>
      <w:r>
        <w:rPr>
          <w:rFonts w:hint="default" w:ascii="Times New Roman" w:hAnsi="Times New Roman" w:cs="Times New Roman" w:eastAsiaTheme="minorEastAsia"/>
          <w:b w:val="0"/>
          <w:snapToGrid/>
          <w:color w:val="auto"/>
          <w:kern w:val="0"/>
          <w:sz w:val="28"/>
          <w:szCs w:val="28"/>
          <w:lang w:val="en-US" w:eastAsia="zh-CN" w:bidi="en-US"/>
        </w:rPr>
        <w:t>推动数字水保、智慧水保建设，加快数字信息技术与水土保持业务深度融合，健全信息化监管、信用监管等新型监管方式，强化水土流失规律机理、生态价值、碳汇能力等基础研究和科技攻关，强化科技成果转化应用，以科技创新引领水土保持高质量发展。</w:t>
      </w:r>
    </w:p>
    <w:p w14:paraId="1ECB0AD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b w:val="0"/>
          <w:snapToGrid/>
          <w:color w:val="auto"/>
          <w:kern w:val="0"/>
          <w:sz w:val="28"/>
          <w:szCs w:val="28"/>
          <w:lang w:val="en-US" w:eastAsia="zh-CN" w:bidi="en-US"/>
        </w:rPr>
      </w:pPr>
      <w:r>
        <w:rPr>
          <w:rFonts w:hint="default" w:ascii="Times New Roman" w:hAnsi="Times New Roman" w:cs="Times New Roman" w:eastAsiaTheme="minorEastAsia"/>
          <w:b/>
          <w:bCs/>
          <w:snapToGrid/>
          <w:color w:val="auto"/>
          <w:kern w:val="0"/>
          <w:sz w:val="28"/>
          <w:szCs w:val="28"/>
          <w:lang w:val="en-US" w:eastAsia="zh-CN" w:bidi="en-US"/>
        </w:rPr>
        <w:t>坚持深化改革。</w:t>
      </w:r>
      <w:r>
        <w:rPr>
          <w:rFonts w:hint="default" w:ascii="Times New Roman" w:hAnsi="Times New Roman" w:cs="Times New Roman" w:eastAsiaTheme="minorEastAsia"/>
          <w:b w:val="0"/>
          <w:snapToGrid/>
          <w:color w:val="auto"/>
          <w:kern w:val="0"/>
          <w:sz w:val="28"/>
          <w:szCs w:val="28"/>
          <w:lang w:val="en-US" w:eastAsia="zh-CN" w:bidi="en-US"/>
        </w:rPr>
        <w:t>持续推进水土保持政策制度创新，按照省负总责、市县抓落实的原则，加快破除制约水土保持高质量发展的体制机制障碍，更好发挥</w:t>
      </w:r>
      <w:r>
        <w:rPr>
          <w:rFonts w:hint="default" w:ascii="Times New Roman" w:hAnsi="Times New Roman" w:cs="Times New Roman"/>
          <w:b w:val="0"/>
          <w:snapToGrid/>
          <w:color w:val="auto"/>
          <w:kern w:val="0"/>
          <w:sz w:val="28"/>
          <w:szCs w:val="28"/>
          <w:lang w:val="en-US" w:eastAsia="zh-CN" w:bidi="en-US"/>
        </w:rPr>
        <w:t>省</w:t>
      </w:r>
      <w:r>
        <w:rPr>
          <w:rFonts w:hint="default" w:ascii="Times New Roman" w:hAnsi="Times New Roman" w:cs="Times New Roman" w:eastAsiaTheme="minorEastAsia"/>
          <w:b w:val="0"/>
          <w:snapToGrid/>
          <w:color w:val="auto"/>
          <w:kern w:val="0"/>
          <w:sz w:val="28"/>
          <w:szCs w:val="28"/>
          <w:lang w:val="en-US" w:eastAsia="zh-CN" w:bidi="en-US"/>
        </w:rPr>
        <w:t>和</w:t>
      </w:r>
      <w:r>
        <w:rPr>
          <w:rFonts w:hint="default" w:ascii="Times New Roman" w:hAnsi="Times New Roman" w:cs="Times New Roman"/>
          <w:b w:val="0"/>
          <w:snapToGrid/>
          <w:color w:val="auto"/>
          <w:kern w:val="0"/>
          <w:sz w:val="28"/>
          <w:szCs w:val="28"/>
          <w:lang w:val="en-US" w:eastAsia="zh-CN" w:bidi="en-US"/>
        </w:rPr>
        <w:t>市县</w:t>
      </w:r>
      <w:r>
        <w:rPr>
          <w:rFonts w:hint="default" w:ascii="Times New Roman" w:hAnsi="Times New Roman" w:cs="Times New Roman" w:eastAsiaTheme="minorEastAsia"/>
          <w:b w:val="0"/>
          <w:snapToGrid/>
          <w:color w:val="auto"/>
          <w:kern w:val="0"/>
          <w:sz w:val="28"/>
          <w:szCs w:val="28"/>
          <w:lang w:val="en-US" w:eastAsia="zh-CN" w:bidi="en-US"/>
        </w:rPr>
        <w:t>、政府和市场各方面作用，增强发展动能和活力</w:t>
      </w:r>
      <w:r>
        <w:rPr>
          <w:rFonts w:hint="default" w:ascii="Times New Roman" w:hAnsi="Times New Roman" w:cs="Times New Roman"/>
          <w:b w:val="0"/>
          <w:snapToGrid/>
          <w:color w:val="auto"/>
          <w:kern w:val="0"/>
          <w:sz w:val="28"/>
          <w:szCs w:val="28"/>
          <w:lang w:val="en-US" w:eastAsia="zh-CN" w:bidi="en-US"/>
        </w:rPr>
        <w:t>。</w:t>
      </w:r>
    </w:p>
    <w:p w14:paraId="37B0E9A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eastAsiaTheme="minorEastAsia"/>
          <w:b w:val="0"/>
          <w:snapToGrid/>
          <w:color w:val="auto"/>
          <w:kern w:val="0"/>
          <w:sz w:val="28"/>
          <w:szCs w:val="28"/>
          <w:lang w:val="en-US" w:eastAsia="zh-CN" w:bidi="en-US"/>
        </w:rPr>
      </w:pPr>
      <w:r>
        <w:rPr>
          <w:rFonts w:hint="default" w:ascii="Times New Roman" w:hAnsi="Times New Roman" w:cs="Times New Roman" w:eastAsiaTheme="minorEastAsia"/>
          <w:b/>
          <w:bCs/>
          <w:snapToGrid/>
          <w:color w:val="auto"/>
          <w:kern w:val="0"/>
          <w:sz w:val="28"/>
          <w:szCs w:val="28"/>
          <w:lang w:val="en-US" w:eastAsia="zh-CN" w:bidi="en-US"/>
        </w:rPr>
        <w:t>坚持系统观念。</w:t>
      </w:r>
      <w:r>
        <w:rPr>
          <w:rFonts w:hint="default" w:ascii="Times New Roman" w:hAnsi="Times New Roman" w:cs="Times New Roman" w:eastAsiaTheme="minorEastAsia"/>
          <w:b w:val="0"/>
          <w:snapToGrid/>
          <w:color w:val="auto"/>
          <w:kern w:val="0"/>
          <w:sz w:val="28"/>
          <w:szCs w:val="28"/>
          <w:lang w:val="en-US" w:eastAsia="zh-CN" w:bidi="en-US"/>
        </w:rPr>
        <w:t>强化系统谋划、协调推进、统筹兼顾。加强顶层设计，完善政策、制度和标准体系</w:t>
      </w:r>
      <w:r>
        <w:rPr>
          <w:rFonts w:hint="default" w:ascii="Times New Roman" w:hAnsi="Times New Roman" w:cs="Times New Roman"/>
          <w:b w:val="0"/>
          <w:snapToGrid/>
          <w:color w:val="auto"/>
          <w:kern w:val="0"/>
          <w:sz w:val="28"/>
          <w:szCs w:val="28"/>
          <w:lang w:val="en-US" w:eastAsia="zh-CN" w:bidi="en-US"/>
        </w:rPr>
        <w:t>建设</w:t>
      </w:r>
      <w:r>
        <w:rPr>
          <w:rFonts w:hint="default" w:ascii="Times New Roman" w:hAnsi="Times New Roman" w:cs="Times New Roman" w:eastAsiaTheme="minorEastAsia"/>
          <w:b w:val="0"/>
          <w:snapToGrid/>
          <w:color w:val="auto"/>
          <w:kern w:val="0"/>
          <w:sz w:val="28"/>
          <w:szCs w:val="28"/>
          <w:lang w:val="en-US" w:eastAsia="zh-CN" w:bidi="en-US"/>
        </w:rPr>
        <w:t>；加强部门协同、上下联动，形成合力，统筹推进水土流失预防、监督、治理、监测等工作。</w:t>
      </w:r>
    </w:p>
    <w:p w14:paraId="687A9C2E">
      <w:pPr>
        <w:pStyle w:val="7"/>
        <w:bidi w:val="0"/>
        <w:rPr>
          <w:rFonts w:hint="default" w:ascii="黑体" w:hAnsi="黑体" w:eastAsia="黑体" w:cs="黑体"/>
          <w:color w:val="auto"/>
          <w:sz w:val="32"/>
          <w:szCs w:val="32"/>
          <w:lang w:val="en-US" w:eastAsia="zh-CN"/>
        </w:rPr>
      </w:pPr>
      <w:bookmarkStart w:id="92" w:name="_Toc302"/>
      <w:bookmarkStart w:id="93" w:name="_Toc29400"/>
      <w:r>
        <w:rPr>
          <w:rFonts w:hint="eastAsia" w:ascii="黑体" w:hAnsi="黑体" w:eastAsia="黑体" w:cs="黑体"/>
          <w:color w:val="auto"/>
          <w:sz w:val="32"/>
          <w:szCs w:val="32"/>
          <w:lang w:val="en-US" w:eastAsia="zh-CN"/>
        </w:rPr>
        <w:t>三、规划依据</w:t>
      </w:r>
      <w:bookmarkEnd w:id="92"/>
      <w:bookmarkEnd w:id="93"/>
    </w:p>
    <w:p w14:paraId="673E9A9D">
      <w:pPr>
        <w:adjustRightInd w:val="0"/>
        <w:spacing w:line="36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（1）《中华人民共和国水土保持法》</w:t>
      </w:r>
    </w:p>
    <w:p w14:paraId="1D22928B">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《全国水土保持规划（2015-2030年）》</w:t>
      </w:r>
    </w:p>
    <w:p w14:paraId="09795D16">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《水土保持“十四五”实施方案》</w:t>
      </w:r>
    </w:p>
    <w:p w14:paraId="67948799">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《全国水土流失动态监测规划（2018-2022年）》</w:t>
      </w:r>
    </w:p>
    <w:p w14:paraId="4AD7E5CF">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《全国重要生态系统保护和修复重大工程总体规划（2021—2035年）》</w:t>
      </w:r>
    </w:p>
    <w:p w14:paraId="338FF47A">
      <w:pPr>
        <w:pStyle w:val="18"/>
        <w:ind w:left="0" w:leftChars="0" w:firstLine="560" w:firstLineChars="200"/>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国家水土保持重点工程2021—2023实施方案</w:t>
      </w:r>
      <w:r>
        <w:rPr>
          <w:rFonts w:hint="default" w:ascii="Times New Roman" w:hAnsi="Times New Roman" w:cs="Times New Roman"/>
          <w:color w:val="auto"/>
          <w:sz w:val="28"/>
          <w:szCs w:val="28"/>
          <w:lang w:eastAsia="zh-CN"/>
        </w:rPr>
        <w:t>》</w:t>
      </w:r>
    </w:p>
    <w:p w14:paraId="00664F9C">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7</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《贵州省水土保持条例》</w:t>
      </w:r>
    </w:p>
    <w:p w14:paraId="5FB00100">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8</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《贵州省水土保持规划（2016-2030年）》</w:t>
      </w:r>
    </w:p>
    <w:p w14:paraId="7E338C6F">
      <w:pPr>
        <w:pStyle w:val="18"/>
        <w:ind w:left="0" w:leftChars="0" w:firstLine="560" w:firstLineChars="200"/>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贵州省“十四五”水利发展规划</w:t>
      </w:r>
      <w:r>
        <w:rPr>
          <w:rFonts w:hint="default" w:ascii="Times New Roman" w:hAnsi="Times New Roman" w:cs="Times New Roman"/>
          <w:color w:val="auto"/>
          <w:sz w:val="28"/>
          <w:szCs w:val="28"/>
          <w:lang w:eastAsia="zh-CN"/>
        </w:rPr>
        <w:t>》</w:t>
      </w:r>
    </w:p>
    <w:p w14:paraId="699CFC5E">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10</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《贵州省水土流失动态监测规划（2018-2022年）》</w:t>
      </w:r>
    </w:p>
    <w:p w14:paraId="183AF8EA">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11</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《贵州省水土保持科技示范园发展规划（2020-2030年）》</w:t>
      </w:r>
    </w:p>
    <w:p w14:paraId="7DF66D34">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12</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《贵州省国民经济和社会发展第十四个五年规划和二〇三五年远景目标的建议》</w:t>
      </w:r>
    </w:p>
    <w:p w14:paraId="2397B6E0">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13</w:t>
      </w:r>
      <w:r>
        <w:rPr>
          <w:rFonts w:hint="default" w:ascii="Times New Roman" w:hAnsi="Times New Roman" w:eastAsia="宋体" w:cs="Times New Roman"/>
          <w:color w:val="auto"/>
          <w:sz w:val="28"/>
          <w:szCs w:val="28"/>
          <w:lang w:eastAsia="zh-CN"/>
        </w:rPr>
        <w:t>）</w:t>
      </w:r>
      <w:r>
        <w:rPr>
          <w:rStyle w:val="24"/>
          <w:rFonts w:hint="default" w:ascii="Times New Roman" w:hAnsi="Times New Roman" w:cs="Times New Roman"/>
          <w:color w:val="auto"/>
        </w:rPr>
        <w:t>《贵州省乡村振兴战略规</w:t>
      </w:r>
      <w:r>
        <w:rPr>
          <w:rFonts w:hint="default" w:ascii="Times New Roman" w:hAnsi="Times New Roman" w:cs="Times New Roman"/>
          <w:color w:val="auto"/>
          <w:sz w:val="28"/>
          <w:szCs w:val="28"/>
        </w:rPr>
        <w:t>划（2018-2022年）</w:t>
      </w:r>
      <w:r>
        <w:rPr>
          <w:rStyle w:val="24"/>
          <w:rFonts w:hint="default" w:ascii="Times New Roman" w:hAnsi="Times New Roman" w:cs="Times New Roman"/>
          <w:color w:val="auto"/>
        </w:rPr>
        <w:t>》</w:t>
      </w:r>
    </w:p>
    <w:p w14:paraId="03312C9C">
      <w:pPr>
        <w:pStyle w:val="18"/>
        <w:ind w:left="0" w:leftChars="0" w:firstLine="560" w:firstLineChars="200"/>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14</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《贵州省“十四五”林业发展规划》</w:t>
      </w:r>
    </w:p>
    <w:p w14:paraId="36A63259">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15</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《贵州省“十四五”林业草原保护发展规划》</w:t>
      </w:r>
    </w:p>
    <w:p w14:paraId="43BE7AC9">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16</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《贵州省国土空间生态修复规划》</w:t>
      </w:r>
    </w:p>
    <w:p w14:paraId="41AFAC99">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17</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《贵州省水利建设生态建设石漠化治理综合规划》</w:t>
      </w:r>
    </w:p>
    <w:p w14:paraId="2F148B77">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18</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《贵州省“十四五”巩固拓展脱贫攻坚成果同乡村振兴有效衔接规划》</w:t>
      </w:r>
    </w:p>
    <w:p w14:paraId="09B61F97">
      <w:pPr>
        <w:pStyle w:val="18"/>
        <w:ind w:left="0" w:leftChars="0" w:firstLine="560" w:firstLineChars="2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（19）《聚力大生态战略统筹推进山水林田湖草系统治理行动方案》。</w:t>
      </w:r>
    </w:p>
    <w:p w14:paraId="6A011AA0">
      <w:pPr>
        <w:pStyle w:val="18"/>
        <w:ind w:left="0" w:leftChars="0"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（20）</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沅江流域综合规划</w:t>
      </w:r>
      <w:r>
        <w:rPr>
          <w:rFonts w:hint="default" w:ascii="Times New Roman" w:hAnsi="Times New Roman" w:cs="Times New Roman"/>
          <w:color w:val="auto"/>
          <w:sz w:val="28"/>
          <w:szCs w:val="28"/>
          <w:lang w:eastAsia="zh-CN"/>
        </w:rPr>
        <w:t>》</w:t>
      </w:r>
    </w:p>
    <w:p w14:paraId="2393434F">
      <w:pPr>
        <w:pStyle w:val="18"/>
        <w:ind w:left="0" w:leftChars="0" w:firstLine="560" w:firstLineChars="200"/>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21</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赤水河流域综合规划</w:t>
      </w:r>
      <w:r>
        <w:rPr>
          <w:rFonts w:hint="default" w:ascii="Times New Roman" w:hAnsi="Times New Roman" w:cs="Times New Roman"/>
          <w:color w:val="auto"/>
          <w:sz w:val="28"/>
          <w:szCs w:val="28"/>
          <w:lang w:eastAsia="zh-CN"/>
        </w:rPr>
        <w:t>》</w:t>
      </w:r>
    </w:p>
    <w:p w14:paraId="13E24A7B">
      <w:pPr>
        <w:pStyle w:val="18"/>
        <w:ind w:left="0" w:leftChars="0" w:firstLine="560" w:firstLineChars="200"/>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22</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水土保持规划编制规范</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SL335-2014</w:t>
      </w:r>
      <w:r>
        <w:rPr>
          <w:rFonts w:hint="eastAsia" w:ascii="Times New Roman" w:hAnsi="Times New Roman" w:cs="Times New Roman"/>
          <w:color w:val="auto"/>
          <w:sz w:val="28"/>
          <w:szCs w:val="28"/>
          <w:lang w:eastAsia="zh-CN"/>
        </w:rPr>
        <w:t>）</w:t>
      </w:r>
    </w:p>
    <w:p w14:paraId="729D3521">
      <w:pPr>
        <w:pStyle w:val="7"/>
        <w:bidi w:val="0"/>
        <w:rPr>
          <w:rFonts w:hint="default" w:ascii="黑体" w:hAnsi="黑体" w:eastAsia="黑体" w:cs="黑体"/>
          <w:color w:val="auto"/>
          <w:sz w:val="32"/>
          <w:szCs w:val="32"/>
          <w:lang w:val="en-US" w:eastAsia="zh-CN"/>
        </w:rPr>
      </w:pPr>
      <w:bookmarkStart w:id="94" w:name="_Toc30526"/>
      <w:bookmarkStart w:id="95" w:name="_Toc15149"/>
      <w:bookmarkStart w:id="96" w:name="_Toc12104"/>
      <w:bookmarkStart w:id="97" w:name="_Toc84"/>
      <w:bookmarkStart w:id="98" w:name="_Toc23311"/>
      <w:r>
        <w:rPr>
          <w:rFonts w:hint="eastAsia" w:ascii="黑体" w:hAnsi="黑体" w:eastAsia="黑体" w:cs="黑体"/>
          <w:color w:val="auto"/>
          <w:sz w:val="32"/>
          <w:szCs w:val="32"/>
          <w:lang w:val="en-US" w:eastAsia="zh-CN"/>
        </w:rPr>
        <w:t>四、规划时段</w:t>
      </w:r>
      <w:bookmarkEnd w:id="94"/>
      <w:bookmarkEnd w:id="95"/>
      <w:bookmarkEnd w:id="96"/>
      <w:bookmarkEnd w:id="97"/>
      <w:bookmarkEnd w:id="98"/>
    </w:p>
    <w:p w14:paraId="081403DF">
      <w:pPr>
        <w:pStyle w:val="12"/>
        <w:keepNext w:val="0"/>
        <w:keepLines w:val="0"/>
        <w:pageBreakBefore w:val="0"/>
        <w:widowControl/>
        <w:kinsoku/>
        <w:wordWrap/>
        <w:overflowPunct/>
        <w:topLinePunct w:val="0"/>
        <w:autoSpaceDE/>
        <w:autoSpaceDN/>
        <w:bidi w:val="0"/>
        <w:adjustRightInd/>
        <w:snapToGrid/>
        <w:ind w:firstLine="600" w:firstLineChars="200"/>
        <w:textAlignment w:val="auto"/>
        <w:rPr>
          <w:rFonts w:hint="default" w:ascii="Times New Roman" w:hAnsi="Times New Roman" w:cs="Times New Roman"/>
          <w:b w:val="0"/>
          <w:bCs/>
          <w:snapToGrid w:val="0"/>
          <w:color w:val="auto"/>
          <w:spacing w:val="10"/>
          <w:sz w:val="28"/>
          <w:szCs w:val="28"/>
          <w:lang w:val="en-US" w:eastAsia="zh-CN"/>
        </w:rPr>
      </w:pPr>
      <w:r>
        <w:rPr>
          <w:rFonts w:hint="default" w:ascii="Times New Roman" w:hAnsi="Times New Roman" w:cs="Times New Roman"/>
          <w:b w:val="0"/>
          <w:bCs/>
          <w:snapToGrid w:val="0"/>
          <w:color w:val="auto"/>
          <w:spacing w:val="10"/>
          <w:sz w:val="28"/>
          <w:szCs w:val="28"/>
          <w:lang w:val="en-US" w:eastAsia="zh-CN"/>
        </w:rPr>
        <w:t>规划时段为2021年至2025年。现状基准年为2020年。</w:t>
      </w:r>
    </w:p>
    <w:p w14:paraId="25FE733A">
      <w:pPr>
        <w:pStyle w:val="7"/>
        <w:bidi w:val="0"/>
        <w:rPr>
          <w:rFonts w:hint="default" w:ascii="黑体" w:hAnsi="黑体" w:eastAsia="黑体" w:cs="黑体"/>
          <w:color w:val="auto"/>
          <w:sz w:val="32"/>
          <w:szCs w:val="32"/>
          <w:lang w:val="en-US" w:eastAsia="zh-CN"/>
        </w:rPr>
      </w:pPr>
      <w:bookmarkStart w:id="99" w:name="_Toc29295"/>
      <w:bookmarkStart w:id="100" w:name="_Toc19939"/>
      <w:bookmarkStart w:id="101" w:name="_Toc31991"/>
      <w:bookmarkStart w:id="102" w:name="_Toc3373"/>
      <w:bookmarkStart w:id="103" w:name="_Toc18070"/>
      <w:r>
        <w:rPr>
          <w:rFonts w:hint="eastAsia" w:ascii="黑体" w:hAnsi="黑体" w:eastAsia="黑体" w:cs="黑体"/>
          <w:color w:val="auto"/>
          <w:sz w:val="32"/>
          <w:szCs w:val="32"/>
          <w:lang w:val="en-US" w:eastAsia="zh-CN"/>
        </w:rPr>
        <w:t>五、规划目标</w:t>
      </w:r>
      <w:bookmarkEnd w:id="99"/>
      <w:bookmarkEnd w:id="100"/>
      <w:bookmarkEnd w:id="101"/>
      <w:bookmarkEnd w:id="102"/>
      <w:bookmarkEnd w:id="103"/>
    </w:p>
    <w:p w14:paraId="05CF7C57">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104" w:name="_Toc14244"/>
      <w:bookmarkStart w:id="105" w:name="_Toc10866"/>
      <w:r>
        <w:rPr>
          <w:rFonts w:hint="eastAsia" w:ascii="Times New Roman" w:hAnsi="Times New Roman" w:eastAsia="楷体_GB2312" w:cs="Times New Roman"/>
          <w:b/>
          <w:bCs w:val="0"/>
          <w:snapToGrid w:val="0"/>
          <w:color w:val="auto"/>
          <w:kern w:val="2"/>
          <w:sz w:val="30"/>
          <w:szCs w:val="30"/>
          <w:lang w:val="en-US" w:eastAsia="zh-CN" w:bidi="ar-SA"/>
        </w:rPr>
        <w:t>（一）“十四五”时期主要目标</w:t>
      </w:r>
      <w:bookmarkEnd w:id="104"/>
      <w:bookmarkEnd w:id="105"/>
    </w:p>
    <w:p w14:paraId="5696D81E">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总体思路是，</w:t>
      </w:r>
      <w:r>
        <w:rPr>
          <w:rFonts w:hint="default" w:ascii="Times New Roman" w:hAnsi="Times New Roman" w:eastAsia="宋体" w:cs="Times New Roman"/>
          <w:color w:val="auto"/>
          <w:sz w:val="28"/>
          <w:szCs w:val="28"/>
          <w:lang w:val="en-US" w:eastAsia="zh-CN"/>
        </w:rPr>
        <w:t>加快推动水土流失综合治理由减量降级向提质增效转变，人为水土流失监管由重点监管向全面管控转变，水土保持监测由水土流失面积强度监测向注重管理需求的全面精准监测转变，发展动力由传统要素驱动向创新驱动、数字化驱动转变</w:t>
      </w:r>
      <w:r>
        <w:rPr>
          <w:rFonts w:hint="eastAsia" w:ascii="Times New Roman" w:hAnsi="Times New Roman" w:eastAsia="宋体" w:cs="Times New Roman"/>
          <w:color w:val="auto"/>
          <w:sz w:val="28"/>
          <w:szCs w:val="28"/>
          <w:lang w:val="en-US" w:eastAsia="zh-CN"/>
        </w:rPr>
        <w:t>，主要目标值见表3-1</w:t>
      </w:r>
      <w:r>
        <w:rPr>
          <w:rFonts w:hint="default" w:ascii="Times New Roman" w:hAnsi="Times New Roman" w:eastAsia="宋体" w:cs="Times New Roman"/>
          <w:color w:val="auto"/>
          <w:sz w:val="28"/>
          <w:szCs w:val="28"/>
          <w:lang w:val="en-US" w:eastAsia="zh-CN"/>
        </w:rPr>
        <w:t>。</w:t>
      </w:r>
    </w:p>
    <w:p w14:paraId="3E88A279">
      <w:pPr>
        <w:pStyle w:val="12"/>
        <w:keepNext w:val="0"/>
        <w:keepLines w:val="0"/>
        <w:pageBreakBefore w:val="0"/>
        <w:kinsoku/>
        <w:wordWrap/>
        <w:overflowPunct/>
        <w:topLinePunct w:val="0"/>
        <w:autoSpaceDE/>
        <w:autoSpaceDN/>
        <w:bidi w:val="0"/>
        <w:adjustRightInd/>
        <w:snapToGrid/>
        <w:ind w:firstLine="562" w:firstLineChars="200"/>
        <w:jc w:val="both"/>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b/>
          <w:bCs/>
          <w:color w:val="auto"/>
          <w:sz w:val="28"/>
          <w:szCs w:val="28"/>
          <w:lang w:val="en-US" w:eastAsia="zh-CN"/>
        </w:rPr>
        <w:t>——水土流失状况持续改善。</w:t>
      </w:r>
      <w:r>
        <w:rPr>
          <w:rFonts w:hint="eastAsia" w:ascii="Times New Roman" w:hAnsi="Times New Roman" w:eastAsia="宋体" w:cs="Times New Roman"/>
          <w:color w:val="auto"/>
          <w:kern w:val="2"/>
          <w:sz w:val="28"/>
          <w:szCs w:val="28"/>
          <w:lang w:val="en-US" w:eastAsia="zh-CN" w:bidi="ar-SA"/>
        </w:rPr>
        <w:t>水土流失面积强度双下降，水土保持质量效益双提升，武陵山生态廊道、重</w:t>
      </w:r>
      <w:r>
        <w:rPr>
          <w:rFonts w:hint="eastAsia" w:ascii="Times New Roman" w:hAnsi="Times New Roman" w:cs="Times New Roman"/>
          <w:color w:val="auto"/>
          <w:kern w:val="2"/>
          <w:sz w:val="28"/>
          <w:szCs w:val="28"/>
          <w:lang w:val="en-US" w:eastAsia="zh-CN" w:bidi="ar-SA"/>
        </w:rPr>
        <w:t>要</w:t>
      </w:r>
      <w:r>
        <w:rPr>
          <w:rFonts w:hint="eastAsia" w:ascii="Times New Roman" w:hAnsi="Times New Roman" w:eastAsia="宋体" w:cs="Times New Roman"/>
          <w:color w:val="auto"/>
          <w:kern w:val="2"/>
          <w:sz w:val="28"/>
          <w:szCs w:val="28"/>
          <w:lang w:val="en-US" w:eastAsia="zh-CN" w:bidi="ar-SA"/>
        </w:rPr>
        <w:t>河流、大中型水库等重点地区水土流失状况显著改善，</w:t>
      </w:r>
      <w:r>
        <w:rPr>
          <w:rFonts w:hint="default" w:ascii="Times New Roman" w:hAnsi="Times New Roman" w:cs="Times New Roman" w:eastAsiaTheme="minorEastAsia"/>
          <w:b/>
          <w:bCs/>
          <w:color w:val="auto"/>
          <w:sz w:val="28"/>
          <w:szCs w:val="28"/>
          <w:lang w:eastAsia="zh-CN"/>
        </w:rPr>
        <w:t>全省</w:t>
      </w:r>
      <w:r>
        <w:rPr>
          <w:rFonts w:hint="eastAsia" w:ascii="Times New Roman" w:hAnsi="Times New Roman" w:cs="Times New Roman" w:eastAsiaTheme="minorEastAsia"/>
          <w:b/>
          <w:bCs/>
          <w:color w:val="auto"/>
          <w:sz w:val="28"/>
          <w:szCs w:val="28"/>
          <w:lang w:val="en-US" w:eastAsia="zh-CN"/>
        </w:rPr>
        <w:t>新增</w:t>
      </w:r>
      <w:r>
        <w:rPr>
          <w:rFonts w:hint="default" w:ascii="Times New Roman" w:hAnsi="Times New Roman" w:cs="Times New Roman" w:eastAsiaTheme="minorEastAsia"/>
          <w:b/>
          <w:bCs/>
          <w:color w:val="auto"/>
          <w:sz w:val="28"/>
          <w:szCs w:val="28"/>
          <w:lang w:eastAsia="zh-CN"/>
        </w:rPr>
        <w:t>水土流失预防面积</w:t>
      </w:r>
      <w:r>
        <w:rPr>
          <w:rFonts w:hint="default" w:ascii="Times New Roman" w:hAnsi="Times New Roman" w:eastAsia="仿宋_GB2312" w:cs="Times New Roman"/>
          <w:b/>
          <w:bCs/>
          <w:color w:val="auto"/>
          <w:sz w:val="28"/>
          <w:szCs w:val="28"/>
          <w:lang w:val="en-US" w:eastAsia="zh-CN"/>
        </w:rPr>
        <w:t>7800</w:t>
      </w:r>
      <w:r>
        <w:rPr>
          <w:rFonts w:hint="eastAsia" w:ascii="Times New Roman" w:hAnsi="Times New Roman" w:eastAsia="仿宋_GB2312" w:cs="Times New Roman"/>
          <w:b/>
          <w:bCs/>
          <w:color w:val="auto"/>
          <w:sz w:val="28"/>
          <w:szCs w:val="28"/>
          <w:lang w:val="en-US" w:eastAsia="zh-CN"/>
        </w:rPr>
        <w:t>平方公里</w:t>
      </w:r>
      <w:r>
        <w:rPr>
          <w:rFonts w:hint="eastAsia" w:ascii="Times New Roman" w:hAnsi="Times New Roman" w:eastAsia="仿宋_GB2312" w:cs="Times New Roman"/>
          <w:b/>
          <w:bCs/>
          <w:color w:val="auto"/>
          <w:sz w:val="28"/>
          <w:szCs w:val="28"/>
          <w:lang w:eastAsia="zh-CN"/>
        </w:rPr>
        <w:t>，</w:t>
      </w:r>
      <w:r>
        <w:rPr>
          <w:rFonts w:hint="default" w:ascii="Times New Roman" w:hAnsi="Times New Roman" w:eastAsia="宋体" w:cs="Times New Roman"/>
          <w:b/>
          <w:bCs/>
          <w:color w:val="auto"/>
          <w:sz w:val="28"/>
          <w:szCs w:val="28"/>
          <w:lang w:val="en-US" w:eastAsia="zh-CN"/>
        </w:rPr>
        <w:t>新增治理面积14900</w:t>
      </w:r>
      <w:r>
        <w:rPr>
          <w:rFonts w:hint="eastAsia" w:ascii="Times New Roman" w:hAnsi="Times New Roman" w:eastAsia="宋体" w:cs="Times New Roman"/>
          <w:b/>
          <w:bCs/>
          <w:color w:val="auto"/>
          <w:sz w:val="28"/>
          <w:szCs w:val="28"/>
          <w:lang w:val="en-US" w:eastAsia="zh-CN"/>
        </w:rPr>
        <w:t>平方公里</w:t>
      </w:r>
      <w:r>
        <w:rPr>
          <w:rStyle w:val="22"/>
          <w:rFonts w:hint="eastAsia" w:ascii="Times New Roman" w:hAnsi="Times New Roman" w:cs="Times New Roman"/>
          <w:b w:val="0"/>
          <w:bCs w:val="0"/>
          <w:color w:val="auto"/>
          <w:sz w:val="28"/>
          <w:szCs w:val="28"/>
          <w:lang w:val="en-US" w:eastAsia="zh-CN"/>
        </w:rPr>
        <w:t>[</w:t>
      </w:r>
      <w:r>
        <w:rPr>
          <w:rStyle w:val="22"/>
          <w:rFonts w:hint="eastAsia" w:ascii="Times New Roman" w:hAnsi="Times New Roman" w:cs="Times New Roman"/>
          <w:b w:val="0"/>
          <w:bCs w:val="0"/>
          <w:color w:val="auto"/>
          <w:sz w:val="28"/>
          <w:szCs w:val="28"/>
          <w:lang w:val="en-US" w:eastAsia="zh-CN"/>
        </w:rPr>
        <w:footnoteReference w:id="8"/>
      </w:r>
      <w:r>
        <w:rPr>
          <w:rStyle w:val="22"/>
          <w:rFonts w:hint="eastAsia" w:ascii="Times New Roman" w:hAnsi="Times New Roman" w:cs="Times New Roman"/>
          <w:b w:val="0"/>
          <w:bCs w:val="0"/>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w:t>
      </w:r>
      <w:r>
        <w:rPr>
          <w:rFonts w:hint="eastAsia" w:ascii="Times New Roman" w:hAnsi="Times New Roman" w:cs="Times New Roman"/>
          <w:color w:val="auto"/>
          <w:sz w:val="28"/>
          <w:szCs w:val="28"/>
          <w:lang w:val="en-US" w:eastAsia="zh-CN"/>
        </w:rPr>
        <w:t>其中长江流域10419平方公里，珠江流域4481平方公里，</w:t>
      </w:r>
      <w:r>
        <w:rPr>
          <w:rFonts w:hint="default" w:ascii="Times New Roman" w:hAnsi="Times New Roman" w:eastAsia="宋体" w:cs="Times New Roman"/>
          <w:b/>
          <w:bCs/>
          <w:color w:val="auto"/>
          <w:sz w:val="28"/>
          <w:szCs w:val="28"/>
          <w:lang w:val="en-US" w:eastAsia="zh-CN"/>
        </w:rPr>
        <w:t>土保持率提高至75.05%</w:t>
      </w:r>
      <w:r>
        <w:rPr>
          <w:rStyle w:val="22"/>
          <w:rFonts w:hint="default" w:ascii="Times New Roman" w:hAnsi="Times New Roman" w:eastAsia="宋体" w:cs="Times New Roman"/>
          <w:b w:val="0"/>
          <w:bCs w:val="0"/>
          <w:color w:val="auto"/>
          <w:sz w:val="28"/>
          <w:szCs w:val="28"/>
          <w:lang w:val="en-US" w:eastAsia="zh-CN"/>
        </w:rPr>
        <w:t>[</w:t>
      </w:r>
      <w:r>
        <w:rPr>
          <w:rStyle w:val="22"/>
          <w:rFonts w:hint="default" w:ascii="Times New Roman" w:hAnsi="Times New Roman" w:eastAsia="宋体" w:cs="Times New Roman"/>
          <w:b w:val="0"/>
          <w:bCs w:val="0"/>
          <w:color w:val="auto"/>
          <w:sz w:val="28"/>
          <w:szCs w:val="28"/>
          <w:lang w:val="en-US" w:eastAsia="zh-CN"/>
        </w:rPr>
        <w:footnoteReference w:id="9"/>
      </w:r>
      <w:r>
        <w:rPr>
          <w:rStyle w:val="22"/>
          <w:rFonts w:hint="default" w:ascii="Times New Roman" w:hAnsi="Times New Roman" w:eastAsia="宋体" w:cs="Times New Roman"/>
          <w:b w:val="0"/>
          <w:bCs w:val="0"/>
          <w:color w:val="auto"/>
          <w:sz w:val="28"/>
          <w:szCs w:val="28"/>
          <w:lang w:val="en-US" w:eastAsia="zh-CN"/>
        </w:rPr>
        <w:t>]</w:t>
      </w:r>
      <w:r>
        <w:rPr>
          <w:rFonts w:hint="eastAsia" w:ascii="Times New Roman" w:hAnsi="Times New Roman" w:cs="Times New Roman"/>
          <w:color w:val="auto"/>
          <w:sz w:val="28"/>
          <w:szCs w:val="28"/>
          <w:lang w:val="en-US" w:eastAsia="zh-CN"/>
        </w:rPr>
        <w:t>。</w:t>
      </w:r>
    </w:p>
    <w:p w14:paraId="3675D80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cs="Times New Roman"/>
          <w:b/>
          <w:bCs/>
          <w:color w:val="auto"/>
          <w:sz w:val="28"/>
          <w:szCs w:val="28"/>
          <w:lang w:val="en-US" w:eastAsia="zh-CN"/>
        </w:rPr>
        <w:t>——监管能力全面加强。</w:t>
      </w:r>
      <w:r>
        <w:rPr>
          <w:rFonts w:hint="eastAsia" w:ascii="Times New Roman" w:hAnsi="Times New Roman" w:eastAsia="宋体" w:cs="Times New Roman"/>
          <w:color w:val="auto"/>
          <w:kern w:val="2"/>
          <w:sz w:val="28"/>
          <w:szCs w:val="28"/>
          <w:lang w:val="en-US" w:eastAsia="zh-CN" w:bidi="ar-SA"/>
        </w:rPr>
        <w:t>基本构建权责明晰、协同高效、严格规范、执行有力的水土保持监管体系，实现水土保持监管制度化、规范化、常态化，人为水土流失得到有效控制。</w:t>
      </w:r>
    </w:p>
    <w:p w14:paraId="53DF237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cs="Times New Roman"/>
          <w:b/>
          <w:bCs/>
          <w:color w:val="auto"/>
          <w:sz w:val="28"/>
          <w:szCs w:val="28"/>
          <w:lang w:val="en-US" w:eastAsia="zh-CN"/>
        </w:rPr>
        <w:t>——</w:t>
      </w:r>
      <w:r>
        <w:rPr>
          <w:rFonts w:hint="default" w:ascii="Times New Roman" w:hAnsi="Times New Roman" w:eastAsia="宋体" w:cs="Times New Roman"/>
          <w:b/>
          <w:bCs/>
          <w:color w:val="auto"/>
          <w:sz w:val="28"/>
          <w:szCs w:val="28"/>
          <w:lang w:val="en-US" w:eastAsia="zh-CN"/>
        </w:rPr>
        <w:t>监测</w:t>
      </w:r>
      <w:r>
        <w:rPr>
          <w:rFonts w:hint="eastAsia" w:ascii="Times New Roman" w:hAnsi="Times New Roman" w:cs="Times New Roman"/>
          <w:b/>
          <w:bCs/>
          <w:color w:val="auto"/>
          <w:sz w:val="28"/>
          <w:szCs w:val="28"/>
          <w:lang w:val="en-US" w:eastAsia="zh-CN"/>
        </w:rPr>
        <w:t>和信息化达到更高水平</w:t>
      </w:r>
      <w:r>
        <w:rPr>
          <w:rFonts w:hint="eastAsia" w:ascii="Times New Roman" w:hAnsi="Times New Roman" w:eastAsia="宋体" w:cs="Times New Roman"/>
          <w:color w:val="auto"/>
          <w:kern w:val="2"/>
          <w:sz w:val="28"/>
          <w:szCs w:val="28"/>
          <w:lang w:val="en-US" w:eastAsia="zh-CN" w:bidi="ar-SA"/>
        </w:rPr>
        <w:t>。监测站网运行管护进一步优化和完善</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抓好水土流失动态监测、</w:t>
      </w:r>
      <w:r>
        <w:rPr>
          <w:rFonts w:hint="default" w:ascii="Times New Roman" w:hAnsi="Times New Roman" w:eastAsia="宋体" w:cs="Times New Roman"/>
          <w:color w:val="auto"/>
          <w:sz w:val="28"/>
          <w:szCs w:val="28"/>
          <w:lang w:eastAsia="zh-CN"/>
        </w:rPr>
        <w:t>国家水土保持重点工程</w:t>
      </w:r>
      <w:r>
        <w:rPr>
          <w:rFonts w:hint="default" w:ascii="Times New Roman" w:hAnsi="Times New Roman" w:eastAsia="宋体" w:cs="Times New Roman"/>
          <w:color w:val="auto"/>
          <w:sz w:val="28"/>
          <w:szCs w:val="28"/>
          <w:lang w:val="en-US" w:eastAsia="zh-CN"/>
        </w:rPr>
        <w:t>和</w:t>
      </w:r>
      <w:r>
        <w:rPr>
          <w:rFonts w:hint="default" w:ascii="Times New Roman" w:hAnsi="Times New Roman" w:eastAsia="宋体" w:cs="Times New Roman"/>
          <w:color w:val="auto"/>
          <w:sz w:val="28"/>
          <w:szCs w:val="28"/>
          <w:lang w:eastAsia="zh-CN"/>
        </w:rPr>
        <w:t>生产建设项目水土保持监督性监测工作，</w:t>
      </w:r>
      <w:r>
        <w:rPr>
          <w:rFonts w:hint="eastAsia" w:ascii="Times New Roman" w:hAnsi="Times New Roman" w:eastAsia="宋体" w:cs="Times New Roman"/>
          <w:color w:val="auto"/>
          <w:kern w:val="2"/>
          <w:sz w:val="28"/>
          <w:szCs w:val="28"/>
          <w:lang w:val="en-US" w:eastAsia="zh-CN" w:bidi="ar-SA"/>
        </w:rPr>
        <w:t>定</w:t>
      </w:r>
      <w:r>
        <w:rPr>
          <w:rFonts w:hint="default" w:ascii="Times New Roman" w:hAnsi="Times New Roman" w:eastAsia="宋体" w:cs="Times New Roman"/>
          <w:color w:val="auto"/>
          <w:sz w:val="28"/>
          <w:szCs w:val="28"/>
          <w:lang w:val="en-US" w:eastAsia="zh-CN"/>
        </w:rPr>
        <w:t>期发布水土保持公报和公告</w:t>
      </w:r>
      <w:r>
        <w:rPr>
          <w:rFonts w:hint="eastAsia" w:ascii="Times New Roman" w:hAnsi="Times New Roman" w:eastAsia="宋体" w:cs="Times New Roman"/>
          <w:color w:val="auto"/>
          <w:sz w:val="28"/>
          <w:szCs w:val="28"/>
          <w:lang w:val="en-US" w:eastAsia="zh-CN"/>
        </w:rPr>
        <w:t>，</w:t>
      </w:r>
      <w:r>
        <w:rPr>
          <w:rFonts w:hint="eastAsia" w:ascii="Times New Roman" w:hAnsi="Times New Roman" w:eastAsia="宋体" w:cs="Times New Roman"/>
          <w:color w:val="auto"/>
          <w:kern w:val="2"/>
          <w:sz w:val="28"/>
          <w:szCs w:val="28"/>
          <w:lang w:val="en-US" w:eastAsia="zh-CN" w:bidi="ar-SA"/>
        </w:rPr>
        <w:t>监测支撑能力明显提高。数字信息等新技术应用全面强化，智慧水保建设有效推进。</w:t>
      </w:r>
    </w:p>
    <w:p w14:paraId="6A6B479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bCs/>
          <w:color w:val="auto"/>
          <w:sz w:val="28"/>
          <w:szCs w:val="28"/>
          <w:lang w:val="en-US" w:eastAsia="zh-CN"/>
        </w:rPr>
        <w:t>改革创新取得更大突破。</w:t>
      </w:r>
      <w:r>
        <w:rPr>
          <w:rFonts w:hint="default" w:ascii="Times New Roman" w:hAnsi="Times New Roman" w:eastAsia="宋体" w:cs="Times New Roman"/>
          <w:color w:val="auto"/>
          <w:kern w:val="2"/>
          <w:sz w:val="28"/>
          <w:szCs w:val="28"/>
          <w:lang w:val="en-US" w:eastAsia="zh-CN" w:bidi="ar-SA"/>
        </w:rPr>
        <w:t>部门</w:t>
      </w:r>
      <w:r>
        <w:rPr>
          <w:rFonts w:hint="default" w:ascii="Times New Roman" w:hAnsi="Times New Roman" w:eastAsia="宋体" w:cs="Times New Roman"/>
          <w:color w:val="auto"/>
          <w:sz w:val="28"/>
          <w:szCs w:val="28"/>
          <w:lang w:val="en-US" w:eastAsia="zh-CN"/>
        </w:rPr>
        <w:t>协同、上下联动的水土流失综合防治体制机制有效建立，地方政府目标责任考核评估进一步强化，协同监管制度更加健全，社会服务能力持续增强，市场和社会力量参与水土流失治理机制更加完善，</w:t>
      </w:r>
      <w:r>
        <w:rPr>
          <w:rFonts w:hint="eastAsia" w:ascii="Times New Roman" w:hAnsi="Times New Roman" w:eastAsia="宋体" w:cs="Times New Roman"/>
          <w:color w:val="auto"/>
          <w:sz w:val="28"/>
          <w:szCs w:val="28"/>
          <w:lang w:val="en-US" w:eastAsia="zh-CN"/>
        </w:rPr>
        <w:t>科技创新和推广示范能力显著提升，</w:t>
      </w:r>
      <w:r>
        <w:rPr>
          <w:rFonts w:hint="default" w:ascii="Times New Roman" w:hAnsi="Times New Roman" w:eastAsia="宋体" w:cs="Times New Roman"/>
          <w:color w:val="auto"/>
          <w:sz w:val="28"/>
          <w:szCs w:val="28"/>
          <w:lang w:val="en-US" w:eastAsia="zh-CN"/>
        </w:rPr>
        <w:t>水土保持发展活力明显增强。</w:t>
      </w:r>
    </w:p>
    <w:p w14:paraId="138098C0">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06" w:name="_Toc14989"/>
      <w:bookmarkStart w:id="107" w:name="_Toc11308"/>
      <w:r>
        <w:rPr>
          <w:rFonts w:hint="eastAsia" w:ascii="Times New Roman" w:hAnsi="Times New Roman" w:eastAsia="楷体_GB2312" w:cs="Times New Roman"/>
          <w:b/>
          <w:bCs w:val="0"/>
          <w:snapToGrid w:val="0"/>
          <w:color w:val="auto"/>
          <w:kern w:val="2"/>
          <w:sz w:val="30"/>
          <w:szCs w:val="30"/>
          <w:lang w:val="en-US" w:eastAsia="zh-CN" w:bidi="ar-SA"/>
        </w:rPr>
        <w:t>（二） 2035年目标展望</w:t>
      </w:r>
      <w:bookmarkEnd w:id="106"/>
      <w:bookmarkEnd w:id="107"/>
    </w:p>
    <w:p w14:paraId="3702EFD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到20</w:t>
      </w:r>
      <w:r>
        <w:rPr>
          <w:rFonts w:hint="default" w:ascii="Times New Roman" w:hAnsi="Times New Roman" w:eastAsia="宋体" w:cs="Times New Roman"/>
          <w:color w:val="auto"/>
          <w:sz w:val="28"/>
          <w:szCs w:val="28"/>
          <w:lang w:val="en-US" w:eastAsia="zh-CN"/>
        </w:rPr>
        <w:t>3</w:t>
      </w:r>
      <w:r>
        <w:rPr>
          <w:rFonts w:hint="eastAsia" w:ascii="Times New Roman" w:hAnsi="Times New Roman" w:eastAsia="宋体" w:cs="Times New Roman"/>
          <w:color w:val="auto"/>
          <w:sz w:val="28"/>
          <w:szCs w:val="28"/>
          <w:lang w:val="en-US" w:eastAsia="zh-CN"/>
        </w:rPr>
        <w:t>5年，全面建成水土流失综合防治体系，国土</w:t>
      </w:r>
      <w:r>
        <w:rPr>
          <w:rFonts w:hint="default" w:ascii="Times New Roman" w:hAnsi="Times New Roman" w:eastAsia="宋体" w:cs="Times New Roman"/>
          <w:color w:val="auto"/>
          <w:sz w:val="28"/>
          <w:szCs w:val="28"/>
          <w:lang w:val="en-US" w:eastAsia="zh-CN"/>
        </w:rPr>
        <w:t>空间</w:t>
      </w:r>
      <w:r>
        <w:rPr>
          <w:rFonts w:hint="eastAsia" w:ascii="Times New Roman" w:hAnsi="Times New Roman" w:eastAsia="宋体" w:cs="Times New Roman"/>
          <w:color w:val="auto"/>
          <w:sz w:val="28"/>
          <w:szCs w:val="28"/>
          <w:lang w:val="en-US" w:eastAsia="zh-CN"/>
        </w:rPr>
        <w:t>全域</w:t>
      </w:r>
      <w:r>
        <w:rPr>
          <w:rFonts w:hint="default" w:ascii="Times New Roman" w:hAnsi="Times New Roman" w:eastAsia="宋体" w:cs="Times New Roman"/>
          <w:color w:val="auto"/>
          <w:sz w:val="28"/>
          <w:szCs w:val="28"/>
          <w:lang w:val="en-US" w:eastAsia="zh-CN"/>
        </w:rPr>
        <w:t>实现水土流失预防</w:t>
      </w:r>
      <w:r>
        <w:rPr>
          <w:rFonts w:hint="eastAsia" w:ascii="Times New Roman" w:hAnsi="Times New Roman" w:eastAsia="宋体" w:cs="Times New Roman"/>
          <w:color w:val="auto"/>
          <w:sz w:val="28"/>
          <w:szCs w:val="28"/>
          <w:lang w:val="en-US" w:eastAsia="zh-CN"/>
        </w:rPr>
        <w:t>管护，人为水土流失</w:t>
      </w:r>
      <w:r>
        <w:rPr>
          <w:rFonts w:hint="default" w:ascii="Times New Roman" w:hAnsi="Times New Roman" w:eastAsia="宋体" w:cs="Times New Roman"/>
          <w:color w:val="auto"/>
          <w:sz w:val="28"/>
          <w:szCs w:val="28"/>
          <w:lang w:val="en-US" w:eastAsia="zh-CN"/>
        </w:rPr>
        <w:t>得到全面防治，</w:t>
      </w:r>
      <w:r>
        <w:rPr>
          <w:rFonts w:hint="eastAsia" w:ascii="Times New Roman" w:hAnsi="Times New Roman" w:eastAsia="宋体" w:cs="Times New Roman"/>
          <w:color w:val="auto"/>
          <w:sz w:val="28"/>
          <w:szCs w:val="28"/>
          <w:lang w:val="en-US" w:eastAsia="zh-CN"/>
        </w:rPr>
        <w:t>水土保持功能和生态服务价值显著提高，生态系统质量和稳定性显著提升，美丽中国水土保持目标基本实现，</w:t>
      </w:r>
      <w:r>
        <w:rPr>
          <w:rFonts w:hint="eastAsia" w:ascii="Times New Roman" w:hAnsi="Times New Roman" w:eastAsia="宋体" w:cs="Times New Roman"/>
          <w:b/>
          <w:bCs/>
          <w:color w:val="auto"/>
          <w:sz w:val="28"/>
          <w:szCs w:val="28"/>
          <w:lang w:val="en-US" w:eastAsia="zh-CN"/>
        </w:rPr>
        <w:t>全省水土保持率提高到78.40%</w:t>
      </w:r>
      <w:r>
        <w:rPr>
          <w:rFonts w:hint="eastAsia" w:ascii="Times New Roman" w:hAnsi="Times New Roman" w:eastAsia="宋体" w:cs="Times New Roman"/>
          <w:color w:val="auto"/>
          <w:sz w:val="28"/>
          <w:szCs w:val="28"/>
          <w:lang w:val="en-US" w:eastAsia="zh-CN"/>
        </w:rPr>
        <w:t>。</w:t>
      </w:r>
    </w:p>
    <w:p w14:paraId="5D3E8CF7">
      <w:pPr>
        <w:jc w:val="both"/>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eastAsia="zh-CN"/>
        </w:rPr>
        <w:t>表</w:t>
      </w:r>
      <w:r>
        <w:rPr>
          <w:rFonts w:hint="eastAsia" w:ascii="Times New Roman" w:hAnsi="Times New Roman" w:cs="Times New Roman"/>
          <w:b/>
          <w:bCs/>
          <w:color w:val="auto"/>
          <w:sz w:val="28"/>
          <w:szCs w:val="28"/>
          <w:lang w:val="en-US" w:eastAsia="zh-CN"/>
        </w:rPr>
        <w:t>3</w:t>
      </w:r>
      <w:r>
        <w:rPr>
          <w:rFonts w:hint="default" w:ascii="Times New Roman" w:hAnsi="Times New Roman" w:cs="Times New Roman"/>
          <w:b/>
          <w:bCs/>
          <w:color w:val="auto"/>
          <w:sz w:val="28"/>
          <w:szCs w:val="28"/>
          <w:lang w:eastAsia="zh-CN"/>
        </w:rPr>
        <w:t>-</w:t>
      </w:r>
      <w:r>
        <w:rPr>
          <w:rFonts w:hint="eastAsia" w:ascii="Times New Roman" w:hAnsi="Times New Roman" w:cs="Times New Roman"/>
          <w:b/>
          <w:bCs/>
          <w:color w:val="auto"/>
          <w:sz w:val="28"/>
          <w:szCs w:val="28"/>
          <w:lang w:val="en-US" w:eastAsia="zh-CN"/>
        </w:rPr>
        <w:t>1</w:t>
      </w:r>
      <w:r>
        <w:rPr>
          <w:rFonts w:hint="default" w:ascii="Times New Roman" w:hAnsi="Times New Roman" w:cs="Times New Roman"/>
          <w:b/>
          <w:bCs/>
          <w:color w:val="auto"/>
          <w:sz w:val="28"/>
          <w:szCs w:val="28"/>
          <w:lang w:eastAsia="zh-CN"/>
        </w:rPr>
        <w:t xml:space="preserve">  </w:t>
      </w:r>
      <w:r>
        <w:rPr>
          <w:rFonts w:hint="eastAsia" w:ascii="Times New Roman" w:hAnsi="Times New Roman" w:cs="Times New Roman"/>
          <w:b/>
          <w:bCs/>
          <w:color w:val="auto"/>
          <w:sz w:val="28"/>
          <w:szCs w:val="28"/>
          <w:lang w:val="en-US" w:eastAsia="zh-CN"/>
        </w:rPr>
        <w:t xml:space="preserve">       </w:t>
      </w:r>
      <w:r>
        <w:rPr>
          <w:rFonts w:hint="default" w:ascii="Times New Roman" w:hAnsi="Times New Roman" w:cs="Times New Roman"/>
          <w:b/>
          <w:bCs/>
          <w:color w:val="auto"/>
          <w:sz w:val="28"/>
          <w:szCs w:val="28"/>
          <w:lang w:eastAsia="zh-CN"/>
        </w:rPr>
        <w:t>“十四五”</w:t>
      </w:r>
      <w:r>
        <w:rPr>
          <w:rFonts w:hint="eastAsia" w:ascii="Times New Roman" w:hAnsi="Times New Roman" w:cs="Times New Roman"/>
          <w:b/>
          <w:bCs/>
          <w:color w:val="auto"/>
          <w:sz w:val="28"/>
          <w:szCs w:val="28"/>
          <w:lang w:val="en-US" w:eastAsia="zh-CN"/>
        </w:rPr>
        <w:t>时期主要规划目标指标值</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900"/>
        <w:gridCol w:w="2027"/>
        <w:gridCol w:w="1592"/>
      </w:tblGrid>
      <w:tr w14:paraId="25B075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875" w:type="pct"/>
            <w:tcBorders>
              <w:tl2br w:val="nil"/>
              <w:tr2bl w:val="nil"/>
            </w:tcBorders>
            <w:noWrap w:val="0"/>
            <w:vAlign w:val="center"/>
          </w:tcPr>
          <w:p w14:paraId="5A1F5745">
            <w:pPr>
              <w:widowControl/>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lang w:bidi="ar"/>
              </w:rPr>
              <w:t>目标指标</w:t>
            </w:r>
          </w:p>
        </w:tc>
        <w:tc>
          <w:tcPr>
            <w:tcW w:w="1189" w:type="pct"/>
            <w:tcBorders>
              <w:tl2br w:val="nil"/>
              <w:tr2bl w:val="nil"/>
            </w:tcBorders>
            <w:noWrap w:val="0"/>
            <w:vAlign w:val="center"/>
          </w:tcPr>
          <w:p w14:paraId="3D0462A6">
            <w:pPr>
              <w:widowControl/>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lang w:bidi="ar"/>
              </w:rPr>
              <w:t>目标值（2025年）</w:t>
            </w:r>
          </w:p>
        </w:tc>
        <w:tc>
          <w:tcPr>
            <w:tcW w:w="934" w:type="pct"/>
            <w:tcBorders>
              <w:tl2br w:val="nil"/>
              <w:tr2bl w:val="nil"/>
            </w:tcBorders>
            <w:noWrap w:val="0"/>
            <w:vAlign w:val="center"/>
          </w:tcPr>
          <w:p w14:paraId="3590F713">
            <w:pPr>
              <w:widowControl/>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kern w:val="0"/>
                <w:sz w:val="24"/>
                <w:szCs w:val="24"/>
                <w:lang w:bidi="ar"/>
              </w:rPr>
              <w:t>属性</w:t>
            </w:r>
          </w:p>
        </w:tc>
      </w:tr>
      <w:tr w14:paraId="07F97B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266C21E7">
            <w:pPr>
              <w:widowControl/>
              <w:jc w:val="center"/>
              <w:textAlignment w:val="center"/>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bidi="ar"/>
              </w:rPr>
              <w:t>水土保持率</w:t>
            </w:r>
            <w:r>
              <w:rPr>
                <w:rFonts w:hint="eastAsia" w:ascii="Times New Roman" w:hAnsi="Times New Roman" w:eastAsia="宋体" w:cs="Times New Roman"/>
                <w:color w:val="auto"/>
                <w:kern w:val="0"/>
                <w:sz w:val="24"/>
                <w:szCs w:val="24"/>
                <w:lang w:eastAsia="zh-CN" w:bidi="ar"/>
              </w:rPr>
              <w:t>（</w:t>
            </w:r>
            <w:r>
              <w:rPr>
                <w:rFonts w:hint="eastAsia"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eastAsia="zh-CN" w:bidi="ar"/>
              </w:rPr>
              <w:t>）</w:t>
            </w:r>
          </w:p>
        </w:tc>
        <w:tc>
          <w:tcPr>
            <w:tcW w:w="1189" w:type="pct"/>
            <w:tcBorders>
              <w:tl2br w:val="nil"/>
              <w:tr2bl w:val="nil"/>
            </w:tcBorders>
            <w:noWrap w:val="0"/>
            <w:vAlign w:val="center"/>
          </w:tcPr>
          <w:p w14:paraId="2A868687">
            <w:pPr>
              <w:widowControl/>
              <w:jc w:val="center"/>
              <w:textAlignment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bidi="ar"/>
              </w:rPr>
              <w:t>75.05</w:t>
            </w:r>
          </w:p>
        </w:tc>
        <w:tc>
          <w:tcPr>
            <w:tcW w:w="934" w:type="pct"/>
            <w:tcBorders>
              <w:tl2br w:val="nil"/>
              <w:tr2bl w:val="nil"/>
            </w:tcBorders>
            <w:noWrap w:val="0"/>
            <w:vAlign w:val="center"/>
          </w:tcPr>
          <w:p w14:paraId="069AF2DD">
            <w:pPr>
              <w:widowControl/>
              <w:jc w:val="center"/>
              <w:textAlignment w:val="center"/>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bidi="ar"/>
              </w:rPr>
              <w:t>预期性</w:t>
            </w:r>
          </w:p>
        </w:tc>
      </w:tr>
      <w:tr w14:paraId="628E9A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0EBD82BC">
            <w:pPr>
              <w:widowControl/>
              <w:jc w:val="center"/>
              <w:textAlignment w:val="center"/>
              <w:rPr>
                <w:rFonts w:hint="default" w:ascii="Times New Roman" w:hAnsi="Times New Roman" w:eastAsia="宋体" w:cs="Times New Roman"/>
                <w:color w:val="auto"/>
                <w:kern w:val="0"/>
                <w:sz w:val="24"/>
                <w:szCs w:val="24"/>
                <w:lang w:bidi="ar"/>
              </w:rPr>
            </w:pPr>
            <w:r>
              <w:rPr>
                <w:rFonts w:hint="eastAsia" w:ascii="Times New Roman" w:hAnsi="Times New Roman" w:eastAsia="宋体" w:cs="Times New Roman"/>
                <w:color w:val="auto"/>
                <w:kern w:val="0"/>
                <w:sz w:val="24"/>
                <w:szCs w:val="24"/>
                <w:lang w:val="en-US" w:eastAsia="zh-CN" w:bidi="ar"/>
              </w:rPr>
              <w:t>新增</w:t>
            </w:r>
            <w:r>
              <w:rPr>
                <w:rFonts w:hint="default" w:ascii="Times New Roman" w:hAnsi="Times New Roman" w:eastAsia="宋体" w:cs="Times New Roman"/>
                <w:color w:val="auto"/>
                <w:kern w:val="0"/>
                <w:sz w:val="24"/>
                <w:szCs w:val="24"/>
                <w:lang w:bidi="ar"/>
              </w:rPr>
              <w:t>水土流失预防面积（km</w:t>
            </w:r>
            <w:r>
              <w:rPr>
                <w:rFonts w:hint="default" w:ascii="Times New Roman" w:hAnsi="Times New Roman" w:eastAsia="宋体" w:cs="Times New Roman"/>
                <w:color w:val="auto"/>
                <w:kern w:val="0"/>
                <w:sz w:val="24"/>
                <w:szCs w:val="24"/>
                <w:vertAlign w:val="superscript"/>
                <w:lang w:bidi="ar"/>
              </w:rPr>
              <w:t>2</w:t>
            </w:r>
            <w:r>
              <w:rPr>
                <w:rFonts w:hint="default" w:ascii="Times New Roman" w:hAnsi="Times New Roman" w:eastAsia="宋体" w:cs="Times New Roman"/>
                <w:color w:val="auto"/>
                <w:kern w:val="0"/>
                <w:sz w:val="24"/>
                <w:szCs w:val="24"/>
                <w:lang w:bidi="ar"/>
              </w:rPr>
              <w:t>）</w:t>
            </w:r>
          </w:p>
        </w:tc>
        <w:tc>
          <w:tcPr>
            <w:tcW w:w="1189" w:type="pct"/>
            <w:tcBorders>
              <w:tl2br w:val="nil"/>
              <w:tr2bl w:val="nil"/>
            </w:tcBorders>
            <w:noWrap w:val="0"/>
            <w:vAlign w:val="center"/>
          </w:tcPr>
          <w:p w14:paraId="6D83EFBA">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7800</w:t>
            </w:r>
          </w:p>
        </w:tc>
        <w:tc>
          <w:tcPr>
            <w:tcW w:w="934" w:type="pct"/>
            <w:tcBorders>
              <w:tl2br w:val="nil"/>
              <w:tr2bl w:val="nil"/>
            </w:tcBorders>
            <w:noWrap w:val="0"/>
            <w:vAlign w:val="center"/>
          </w:tcPr>
          <w:p w14:paraId="53AC9F98">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预期性</w:t>
            </w:r>
          </w:p>
        </w:tc>
      </w:tr>
      <w:tr w14:paraId="2889A5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18AC4C75">
            <w:pPr>
              <w:widowControl/>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bidi="ar"/>
              </w:rPr>
              <w:t>新增水土流失治理面积（km</w:t>
            </w:r>
            <w:r>
              <w:rPr>
                <w:rFonts w:hint="default" w:ascii="Times New Roman" w:hAnsi="Times New Roman" w:eastAsia="宋体" w:cs="Times New Roman"/>
                <w:color w:val="auto"/>
                <w:kern w:val="0"/>
                <w:sz w:val="24"/>
                <w:szCs w:val="24"/>
                <w:vertAlign w:val="superscript"/>
                <w:lang w:bidi="ar"/>
              </w:rPr>
              <w:t>2</w:t>
            </w:r>
            <w:r>
              <w:rPr>
                <w:rFonts w:hint="default" w:ascii="Times New Roman" w:hAnsi="Times New Roman" w:eastAsia="宋体" w:cs="Times New Roman"/>
                <w:color w:val="auto"/>
                <w:kern w:val="0"/>
                <w:sz w:val="24"/>
                <w:szCs w:val="24"/>
                <w:lang w:bidi="ar"/>
              </w:rPr>
              <w:t>）</w:t>
            </w:r>
          </w:p>
        </w:tc>
        <w:tc>
          <w:tcPr>
            <w:tcW w:w="1189" w:type="pct"/>
            <w:tcBorders>
              <w:tl2br w:val="nil"/>
              <w:tr2bl w:val="nil"/>
            </w:tcBorders>
            <w:noWrap w:val="0"/>
            <w:vAlign w:val="center"/>
          </w:tcPr>
          <w:p w14:paraId="06ED1B89">
            <w:pPr>
              <w:widowControl/>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14900</w:t>
            </w:r>
          </w:p>
        </w:tc>
        <w:tc>
          <w:tcPr>
            <w:tcW w:w="934" w:type="pct"/>
            <w:tcBorders>
              <w:tl2br w:val="nil"/>
              <w:tr2bl w:val="nil"/>
            </w:tcBorders>
            <w:noWrap w:val="0"/>
            <w:vAlign w:val="center"/>
          </w:tcPr>
          <w:p w14:paraId="7007C878">
            <w:pPr>
              <w:widowControl/>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bidi="ar"/>
              </w:rPr>
              <w:t>预期性</w:t>
            </w:r>
          </w:p>
        </w:tc>
      </w:tr>
      <w:tr w14:paraId="3E4022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3435E07B">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打造精品小流域（条）</w:t>
            </w:r>
          </w:p>
        </w:tc>
        <w:tc>
          <w:tcPr>
            <w:tcW w:w="1189" w:type="pct"/>
            <w:tcBorders>
              <w:tl2br w:val="nil"/>
              <w:tr2bl w:val="nil"/>
            </w:tcBorders>
            <w:noWrap w:val="0"/>
            <w:vAlign w:val="center"/>
          </w:tcPr>
          <w:p w14:paraId="70767F67">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15</w:t>
            </w:r>
          </w:p>
        </w:tc>
        <w:tc>
          <w:tcPr>
            <w:tcW w:w="934" w:type="pct"/>
            <w:tcBorders>
              <w:tl2br w:val="nil"/>
              <w:tr2bl w:val="nil"/>
            </w:tcBorders>
            <w:noWrap w:val="0"/>
            <w:vAlign w:val="center"/>
          </w:tcPr>
          <w:p w14:paraId="5E41923D">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预期性</w:t>
            </w:r>
          </w:p>
        </w:tc>
      </w:tr>
      <w:tr w14:paraId="7D6A2E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32A227BB">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重点工程水土保持监测开展率（%）</w:t>
            </w:r>
          </w:p>
        </w:tc>
        <w:tc>
          <w:tcPr>
            <w:tcW w:w="1189" w:type="pct"/>
            <w:tcBorders>
              <w:tl2br w:val="nil"/>
              <w:tr2bl w:val="nil"/>
            </w:tcBorders>
            <w:noWrap w:val="0"/>
            <w:vAlign w:val="center"/>
          </w:tcPr>
          <w:p w14:paraId="4FD968FB">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98</w:t>
            </w:r>
          </w:p>
        </w:tc>
        <w:tc>
          <w:tcPr>
            <w:tcW w:w="934" w:type="pct"/>
            <w:tcBorders>
              <w:tl2br w:val="nil"/>
              <w:tr2bl w:val="nil"/>
            </w:tcBorders>
            <w:noWrap w:val="0"/>
            <w:vAlign w:val="center"/>
          </w:tcPr>
          <w:p w14:paraId="72A80D40">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预期性</w:t>
            </w:r>
          </w:p>
        </w:tc>
      </w:tr>
      <w:tr w14:paraId="54E857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53F3BCD5">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生产建设项目监测开展率（%）</w:t>
            </w:r>
          </w:p>
        </w:tc>
        <w:tc>
          <w:tcPr>
            <w:tcW w:w="1189" w:type="pct"/>
            <w:tcBorders>
              <w:tl2br w:val="nil"/>
              <w:tr2bl w:val="nil"/>
            </w:tcBorders>
            <w:noWrap w:val="0"/>
            <w:vAlign w:val="center"/>
          </w:tcPr>
          <w:p w14:paraId="244851D7">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95</w:t>
            </w:r>
          </w:p>
        </w:tc>
        <w:tc>
          <w:tcPr>
            <w:tcW w:w="934" w:type="pct"/>
            <w:tcBorders>
              <w:tl2br w:val="nil"/>
              <w:tr2bl w:val="nil"/>
            </w:tcBorders>
            <w:noWrap w:val="0"/>
            <w:vAlign w:val="center"/>
          </w:tcPr>
          <w:p w14:paraId="54DA9AE2">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预期性</w:t>
            </w:r>
          </w:p>
        </w:tc>
      </w:tr>
      <w:tr w14:paraId="68FDF8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34C5BD6F">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水土保持方案审批率（%）</w:t>
            </w:r>
          </w:p>
        </w:tc>
        <w:tc>
          <w:tcPr>
            <w:tcW w:w="1189" w:type="pct"/>
            <w:tcBorders>
              <w:tl2br w:val="nil"/>
              <w:tr2bl w:val="nil"/>
            </w:tcBorders>
            <w:noWrap w:val="0"/>
            <w:vAlign w:val="center"/>
          </w:tcPr>
          <w:p w14:paraId="7A0AB1EF">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95</w:t>
            </w:r>
          </w:p>
        </w:tc>
        <w:tc>
          <w:tcPr>
            <w:tcW w:w="934" w:type="pct"/>
            <w:tcBorders>
              <w:tl2br w:val="nil"/>
              <w:tr2bl w:val="nil"/>
            </w:tcBorders>
            <w:noWrap w:val="0"/>
            <w:vAlign w:val="center"/>
          </w:tcPr>
          <w:p w14:paraId="66A29258">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预期性</w:t>
            </w:r>
          </w:p>
        </w:tc>
      </w:tr>
      <w:tr w14:paraId="4E1398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1009B8D7">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案件查处率（%）</w:t>
            </w:r>
          </w:p>
        </w:tc>
        <w:tc>
          <w:tcPr>
            <w:tcW w:w="1189" w:type="pct"/>
            <w:tcBorders>
              <w:tl2br w:val="nil"/>
              <w:tr2bl w:val="nil"/>
            </w:tcBorders>
            <w:noWrap w:val="0"/>
            <w:vAlign w:val="center"/>
          </w:tcPr>
          <w:p w14:paraId="7910729B">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100</w:t>
            </w:r>
          </w:p>
        </w:tc>
        <w:tc>
          <w:tcPr>
            <w:tcW w:w="934" w:type="pct"/>
            <w:tcBorders>
              <w:tl2br w:val="nil"/>
              <w:tr2bl w:val="nil"/>
            </w:tcBorders>
            <w:noWrap w:val="0"/>
            <w:vAlign w:val="center"/>
          </w:tcPr>
          <w:p w14:paraId="4F7698E8">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预期性</w:t>
            </w:r>
          </w:p>
        </w:tc>
      </w:tr>
      <w:tr w14:paraId="22011B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62752041">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监测机构建设（个）</w:t>
            </w:r>
          </w:p>
        </w:tc>
        <w:tc>
          <w:tcPr>
            <w:tcW w:w="1189" w:type="pct"/>
            <w:tcBorders>
              <w:tl2br w:val="nil"/>
              <w:tr2bl w:val="nil"/>
            </w:tcBorders>
            <w:noWrap w:val="0"/>
            <w:vAlign w:val="center"/>
          </w:tcPr>
          <w:p w14:paraId="0EA71939">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2</w:t>
            </w:r>
          </w:p>
        </w:tc>
        <w:tc>
          <w:tcPr>
            <w:tcW w:w="934" w:type="pct"/>
            <w:tcBorders>
              <w:tl2br w:val="nil"/>
              <w:tr2bl w:val="nil"/>
            </w:tcBorders>
            <w:noWrap w:val="0"/>
            <w:vAlign w:val="center"/>
          </w:tcPr>
          <w:p w14:paraId="6CE9DC58">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预期性</w:t>
            </w:r>
          </w:p>
        </w:tc>
      </w:tr>
      <w:tr w14:paraId="6EF506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2D5FE9A3">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监测站点升级改造（个）</w:t>
            </w:r>
          </w:p>
        </w:tc>
        <w:tc>
          <w:tcPr>
            <w:tcW w:w="1189" w:type="pct"/>
            <w:tcBorders>
              <w:tl2br w:val="nil"/>
              <w:tr2bl w:val="nil"/>
            </w:tcBorders>
            <w:noWrap w:val="0"/>
            <w:vAlign w:val="center"/>
          </w:tcPr>
          <w:p w14:paraId="0BE344B9">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9</w:t>
            </w:r>
          </w:p>
        </w:tc>
        <w:tc>
          <w:tcPr>
            <w:tcW w:w="934" w:type="pct"/>
            <w:tcBorders>
              <w:tl2br w:val="nil"/>
              <w:tr2bl w:val="nil"/>
            </w:tcBorders>
            <w:noWrap w:val="0"/>
            <w:vAlign w:val="center"/>
          </w:tcPr>
          <w:p w14:paraId="0FAD9E87">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bidi="ar"/>
              </w:rPr>
              <w:t>预期性</w:t>
            </w:r>
          </w:p>
        </w:tc>
      </w:tr>
      <w:tr w14:paraId="5F5FC1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09F4A326">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大数据平台（渣土综合利用、动态监测、监管等）建设</w:t>
            </w:r>
          </w:p>
        </w:tc>
        <w:tc>
          <w:tcPr>
            <w:tcW w:w="1189" w:type="pct"/>
            <w:tcBorders>
              <w:tl2br w:val="nil"/>
              <w:tr2bl w:val="nil"/>
            </w:tcBorders>
            <w:noWrap w:val="0"/>
            <w:vAlign w:val="center"/>
          </w:tcPr>
          <w:p w14:paraId="1E1565A3">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w:t>
            </w:r>
          </w:p>
        </w:tc>
        <w:tc>
          <w:tcPr>
            <w:tcW w:w="934" w:type="pct"/>
            <w:tcBorders>
              <w:tl2br w:val="nil"/>
              <w:tr2bl w:val="nil"/>
            </w:tcBorders>
            <w:noWrap w:val="0"/>
            <w:vAlign w:val="center"/>
          </w:tcPr>
          <w:p w14:paraId="55255E25">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预期性</w:t>
            </w:r>
          </w:p>
        </w:tc>
      </w:tr>
      <w:tr w14:paraId="119257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3AEF7BF8">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生产建设项目监督性监测（个/每年）</w:t>
            </w:r>
          </w:p>
        </w:tc>
        <w:tc>
          <w:tcPr>
            <w:tcW w:w="1189" w:type="pct"/>
            <w:tcBorders>
              <w:tl2br w:val="nil"/>
              <w:tr2bl w:val="nil"/>
            </w:tcBorders>
            <w:noWrap w:val="0"/>
            <w:vAlign w:val="center"/>
          </w:tcPr>
          <w:p w14:paraId="7D678B37">
            <w:pPr>
              <w:widowControl/>
              <w:jc w:val="center"/>
              <w:textAlignment w:val="center"/>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20</w:t>
            </w:r>
          </w:p>
        </w:tc>
        <w:tc>
          <w:tcPr>
            <w:tcW w:w="934" w:type="pct"/>
            <w:tcBorders>
              <w:tl2br w:val="nil"/>
              <w:tr2bl w:val="nil"/>
            </w:tcBorders>
            <w:noWrap w:val="0"/>
            <w:vAlign w:val="center"/>
          </w:tcPr>
          <w:p w14:paraId="4C6AECCF">
            <w:pPr>
              <w:widowControl/>
              <w:jc w:val="center"/>
              <w:textAlignment w:val="center"/>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预期性</w:t>
            </w:r>
          </w:p>
        </w:tc>
      </w:tr>
      <w:tr w14:paraId="49B218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470910D3">
            <w:pPr>
              <w:widowControl/>
              <w:jc w:val="center"/>
              <w:textAlignment w:val="center"/>
              <w:rPr>
                <w:rFonts w:hint="eastAsia" w:ascii="Times New Roman" w:hAnsi="Times New Roman" w:eastAsia="宋体" w:cs="Times New Roman"/>
                <w:color w:val="auto"/>
                <w:kern w:val="0"/>
                <w:sz w:val="24"/>
                <w:szCs w:val="24"/>
                <w:lang w:eastAsia="zh-CN" w:bidi="ar"/>
              </w:rPr>
            </w:pPr>
            <w:r>
              <w:rPr>
                <w:rFonts w:hint="default" w:ascii="Times New Roman" w:hAnsi="Times New Roman" w:eastAsia="宋体" w:cs="Times New Roman"/>
                <w:color w:val="auto"/>
                <w:kern w:val="0"/>
                <w:sz w:val="24"/>
                <w:szCs w:val="24"/>
                <w:lang w:bidi="ar"/>
              </w:rPr>
              <w:t>新增国家级水土保持科技示范园区</w:t>
            </w:r>
            <w:r>
              <w:rPr>
                <w:rFonts w:hint="eastAsia" w:ascii="Times New Roman" w:hAnsi="Times New Roman" w:eastAsia="宋体" w:cs="Times New Roman"/>
                <w:color w:val="auto"/>
                <w:kern w:val="0"/>
                <w:sz w:val="24"/>
                <w:szCs w:val="24"/>
                <w:lang w:eastAsia="zh-CN" w:bidi="ar"/>
              </w:rPr>
              <w:t>（</w:t>
            </w:r>
            <w:r>
              <w:rPr>
                <w:rFonts w:hint="eastAsia" w:ascii="Times New Roman" w:hAnsi="Times New Roman" w:eastAsia="宋体" w:cs="Times New Roman"/>
                <w:color w:val="auto"/>
                <w:kern w:val="0"/>
                <w:sz w:val="24"/>
                <w:szCs w:val="24"/>
                <w:lang w:val="en-US" w:eastAsia="zh-CN" w:bidi="ar"/>
              </w:rPr>
              <w:t>个</w:t>
            </w:r>
            <w:r>
              <w:rPr>
                <w:rFonts w:hint="eastAsia" w:ascii="Times New Roman" w:hAnsi="Times New Roman" w:eastAsia="宋体" w:cs="Times New Roman"/>
                <w:color w:val="auto"/>
                <w:kern w:val="0"/>
                <w:sz w:val="24"/>
                <w:szCs w:val="24"/>
                <w:lang w:eastAsia="zh-CN" w:bidi="ar"/>
              </w:rPr>
              <w:t>）</w:t>
            </w:r>
          </w:p>
        </w:tc>
        <w:tc>
          <w:tcPr>
            <w:tcW w:w="1189" w:type="pct"/>
            <w:tcBorders>
              <w:tl2br w:val="nil"/>
              <w:tr2bl w:val="nil"/>
            </w:tcBorders>
            <w:noWrap w:val="0"/>
            <w:vAlign w:val="center"/>
          </w:tcPr>
          <w:p w14:paraId="45AA67CD">
            <w:pPr>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5</w:t>
            </w:r>
          </w:p>
        </w:tc>
        <w:tc>
          <w:tcPr>
            <w:tcW w:w="934" w:type="pct"/>
            <w:tcBorders>
              <w:tl2br w:val="nil"/>
              <w:tr2bl w:val="nil"/>
            </w:tcBorders>
            <w:noWrap w:val="0"/>
            <w:vAlign w:val="center"/>
          </w:tcPr>
          <w:p w14:paraId="6F84BB75">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预期性</w:t>
            </w:r>
          </w:p>
        </w:tc>
      </w:tr>
      <w:tr w14:paraId="465143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5" w:type="pct"/>
            <w:tcBorders>
              <w:tl2br w:val="nil"/>
              <w:tr2bl w:val="nil"/>
            </w:tcBorders>
            <w:noWrap w:val="0"/>
            <w:vAlign w:val="center"/>
          </w:tcPr>
          <w:p w14:paraId="7E13648D">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新增</w:t>
            </w:r>
            <w:r>
              <w:rPr>
                <w:rFonts w:hint="eastAsia" w:ascii="Times New Roman" w:hAnsi="Times New Roman" w:eastAsia="宋体" w:cs="Times New Roman"/>
                <w:color w:val="auto"/>
                <w:kern w:val="0"/>
                <w:sz w:val="24"/>
                <w:szCs w:val="24"/>
                <w:lang w:val="en-US" w:eastAsia="zh-CN" w:bidi="ar"/>
              </w:rPr>
              <w:t>省</w:t>
            </w:r>
            <w:r>
              <w:rPr>
                <w:rFonts w:hint="default" w:ascii="Times New Roman" w:hAnsi="Times New Roman" w:eastAsia="宋体" w:cs="Times New Roman"/>
                <w:color w:val="auto"/>
                <w:kern w:val="0"/>
                <w:sz w:val="24"/>
                <w:szCs w:val="24"/>
                <w:lang w:bidi="ar"/>
              </w:rPr>
              <w:t>级水土保持科技示范园区</w:t>
            </w:r>
            <w:r>
              <w:rPr>
                <w:rFonts w:hint="eastAsia" w:ascii="Times New Roman" w:hAnsi="Times New Roman" w:eastAsia="宋体" w:cs="Times New Roman"/>
                <w:color w:val="auto"/>
                <w:kern w:val="0"/>
                <w:sz w:val="24"/>
                <w:szCs w:val="24"/>
                <w:lang w:eastAsia="zh-CN" w:bidi="ar"/>
              </w:rPr>
              <w:t>（</w:t>
            </w:r>
            <w:r>
              <w:rPr>
                <w:rFonts w:hint="eastAsia" w:ascii="Times New Roman" w:hAnsi="Times New Roman" w:eastAsia="宋体" w:cs="Times New Roman"/>
                <w:color w:val="auto"/>
                <w:kern w:val="0"/>
                <w:sz w:val="24"/>
                <w:szCs w:val="24"/>
                <w:lang w:val="en-US" w:eastAsia="zh-CN" w:bidi="ar"/>
              </w:rPr>
              <w:t>个</w:t>
            </w:r>
            <w:r>
              <w:rPr>
                <w:rFonts w:hint="eastAsia" w:ascii="Times New Roman" w:hAnsi="Times New Roman" w:eastAsia="宋体" w:cs="Times New Roman"/>
                <w:color w:val="auto"/>
                <w:kern w:val="0"/>
                <w:sz w:val="24"/>
                <w:szCs w:val="24"/>
                <w:lang w:eastAsia="zh-CN" w:bidi="ar"/>
              </w:rPr>
              <w:t>）</w:t>
            </w:r>
          </w:p>
        </w:tc>
        <w:tc>
          <w:tcPr>
            <w:tcW w:w="1189" w:type="pct"/>
            <w:tcBorders>
              <w:tl2br w:val="nil"/>
              <w:tr2bl w:val="nil"/>
            </w:tcBorders>
            <w:noWrap w:val="0"/>
            <w:vAlign w:val="center"/>
          </w:tcPr>
          <w:p w14:paraId="2A0EBA6B">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w:t>
            </w:r>
          </w:p>
        </w:tc>
        <w:tc>
          <w:tcPr>
            <w:tcW w:w="934" w:type="pct"/>
            <w:tcBorders>
              <w:tl2br w:val="nil"/>
              <w:tr2bl w:val="nil"/>
            </w:tcBorders>
            <w:noWrap w:val="0"/>
            <w:vAlign w:val="center"/>
          </w:tcPr>
          <w:p w14:paraId="30696E60">
            <w:pPr>
              <w:widowControl/>
              <w:jc w:val="center"/>
              <w:textAlignment w:val="center"/>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预期性</w:t>
            </w:r>
          </w:p>
        </w:tc>
      </w:tr>
    </w:tbl>
    <w:p w14:paraId="15210652">
      <w:pPr>
        <w:pStyle w:val="7"/>
        <w:bidi w:val="0"/>
        <w:rPr>
          <w:rFonts w:hint="default" w:ascii="黑体" w:hAnsi="黑体" w:eastAsia="黑体" w:cs="黑体"/>
          <w:color w:val="auto"/>
          <w:sz w:val="32"/>
          <w:szCs w:val="32"/>
          <w:lang w:val="en-US" w:eastAsia="zh-CN"/>
        </w:rPr>
      </w:pPr>
      <w:bookmarkStart w:id="108" w:name="_Toc18434"/>
      <w:bookmarkStart w:id="109" w:name="_Toc2221"/>
      <w:bookmarkStart w:id="110" w:name="_Toc17876"/>
      <w:bookmarkStart w:id="111" w:name="_Toc9286"/>
      <w:bookmarkStart w:id="112" w:name="_Toc21986"/>
      <w:r>
        <w:rPr>
          <w:rFonts w:hint="eastAsia" w:ascii="黑体" w:hAnsi="黑体" w:eastAsia="黑体" w:cs="黑体"/>
          <w:color w:val="auto"/>
          <w:sz w:val="32"/>
          <w:szCs w:val="32"/>
          <w:lang w:val="en-US" w:eastAsia="zh-CN"/>
        </w:rPr>
        <w:t>六、规划任务</w:t>
      </w:r>
      <w:bookmarkEnd w:id="108"/>
      <w:bookmarkEnd w:id="109"/>
      <w:bookmarkEnd w:id="110"/>
      <w:bookmarkEnd w:id="111"/>
      <w:bookmarkEnd w:id="112"/>
    </w:p>
    <w:p w14:paraId="4404157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color w:val="auto"/>
          <w:spacing w:val="8"/>
          <w:sz w:val="28"/>
          <w:szCs w:val="28"/>
          <w:lang w:val="en-US" w:eastAsia="zh-CN"/>
        </w:rPr>
      </w:pPr>
      <w:r>
        <w:rPr>
          <w:rFonts w:hint="eastAsia" w:ascii="Times New Roman" w:hAnsi="Times New Roman" w:cs="Times New Roman"/>
          <w:b w:val="0"/>
          <w:bCs w:val="0"/>
          <w:color w:val="auto"/>
          <w:sz w:val="28"/>
          <w:szCs w:val="28"/>
          <w:lang w:val="en-US" w:eastAsia="zh-CN"/>
        </w:rPr>
        <w:t>“十四五”</w:t>
      </w:r>
      <w:r>
        <w:rPr>
          <w:rFonts w:hint="default" w:ascii="Times New Roman" w:hAnsi="Times New Roman" w:cs="Times New Roman" w:eastAsiaTheme="minorEastAsia"/>
          <w:b w:val="0"/>
          <w:bCs w:val="0"/>
          <w:color w:val="auto"/>
          <w:sz w:val="28"/>
          <w:szCs w:val="28"/>
          <w:lang w:eastAsia="zh-CN"/>
        </w:rPr>
        <w:t>全省</w:t>
      </w:r>
      <w:r>
        <w:rPr>
          <w:rFonts w:hint="eastAsia" w:ascii="Times New Roman" w:hAnsi="Times New Roman" w:cs="Times New Roman"/>
          <w:b w:val="0"/>
          <w:bCs w:val="0"/>
          <w:color w:val="auto"/>
          <w:sz w:val="28"/>
          <w:szCs w:val="28"/>
          <w:lang w:val="en-US" w:eastAsia="zh-CN"/>
        </w:rPr>
        <w:t>预防水土流失面积7900平方公里，</w:t>
      </w:r>
      <w:r>
        <w:rPr>
          <w:rFonts w:hint="default" w:ascii="Times New Roman" w:hAnsi="Times New Roman" w:eastAsia="宋体" w:cs="Times New Roman"/>
          <w:b w:val="0"/>
          <w:bCs w:val="0"/>
          <w:color w:val="auto"/>
          <w:sz w:val="28"/>
          <w:szCs w:val="28"/>
          <w:lang w:val="en-US" w:eastAsia="zh-CN"/>
        </w:rPr>
        <w:t>治理</w:t>
      </w:r>
      <w:r>
        <w:rPr>
          <w:rFonts w:hint="eastAsia" w:ascii="Times New Roman" w:hAnsi="Times New Roman" w:eastAsia="宋体" w:cs="Times New Roman"/>
          <w:b w:val="0"/>
          <w:bCs w:val="0"/>
          <w:color w:val="auto"/>
          <w:sz w:val="28"/>
          <w:szCs w:val="28"/>
          <w:lang w:val="en-US" w:eastAsia="zh-CN"/>
        </w:rPr>
        <w:t>水土流失</w:t>
      </w:r>
      <w:r>
        <w:rPr>
          <w:rFonts w:hint="default" w:ascii="Times New Roman" w:hAnsi="Times New Roman" w:eastAsia="宋体" w:cs="Times New Roman"/>
          <w:b w:val="0"/>
          <w:bCs w:val="0"/>
          <w:color w:val="auto"/>
          <w:sz w:val="28"/>
          <w:szCs w:val="28"/>
          <w:lang w:val="en-US" w:eastAsia="zh-CN"/>
        </w:rPr>
        <w:t>面积14900</w:t>
      </w:r>
      <w:r>
        <w:rPr>
          <w:rFonts w:hint="eastAsia" w:ascii="Times New Roman" w:hAnsi="Times New Roman" w:eastAsia="宋体" w:cs="Times New Roman"/>
          <w:b w:val="0"/>
          <w:bCs w:val="0"/>
          <w:color w:val="auto"/>
          <w:sz w:val="28"/>
          <w:szCs w:val="28"/>
          <w:lang w:val="en-US" w:eastAsia="zh-CN"/>
        </w:rPr>
        <w:t>平方公里，</w:t>
      </w:r>
      <w:r>
        <w:rPr>
          <w:rFonts w:hint="eastAsia" w:ascii="Times New Roman" w:hAnsi="Times New Roman" w:cs="Times New Roman"/>
          <w:color w:val="auto"/>
          <w:spacing w:val="8"/>
          <w:sz w:val="28"/>
          <w:szCs w:val="28"/>
          <w:lang w:val="en-US" w:eastAsia="zh-CN"/>
        </w:rPr>
        <w:t>各市州任务分解详见表3-2，各流域任务分解详见表3-3。</w:t>
      </w:r>
    </w:p>
    <w:p w14:paraId="2F71843E">
      <w:pPr>
        <w:spacing w:after="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w:t>
      </w:r>
      <w:r>
        <w:rPr>
          <w:rFonts w:hint="eastAsia" w:ascii="Times New Roman" w:hAnsi="Times New Roman" w:eastAsia="宋体" w:cs="Times New Roman"/>
          <w:b/>
          <w:bCs/>
          <w:color w:val="auto"/>
          <w:sz w:val="28"/>
          <w:szCs w:val="28"/>
          <w:lang w:val="en-US" w:eastAsia="zh-CN"/>
        </w:rPr>
        <w:t>2</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各市州水土流失治理任务分解表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629"/>
        <w:gridCol w:w="1667"/>
        <w:gridCol w:w="1350"/>
        <w:gridCol w:w="1275"/>
        <w:gridCol w:w="1224"/>
      </w:tblGrid>
      <w:tr w14:paraId="3ED04A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25" w:hRule="atLeast"/>
          <w:tblHeader/>
          <w:jc w:val="center"/>
        </w:trPr>
        <w:tc>
          <w:tcPr>
            <w:tcW w:w="806" w:type="pct"/>
            <w:vMerge w:val="restart"/>
            <w:tcBorders>
              <w:tl2br w:val="nil"/>
              <w:tr2bl w:val="nil"/>
            </w:tcBorders>
            <w:noWrap w:val="0"/>
            <w:vAlign w:val="center"/>
          </w:tcPr>
          <w:p w14:paraId="46973405">
            <w:pPr>
              <w:spacing w:after="0" w:line="300" w:lineRule="exact"/>
              <w:jc w:val="center"/>
              <w:rPr>
                <w:rFonts w:hint="default" w:ascii="Times New Roman" w:hAnsi="Times New Roman" w:eastAsia="宋体" w:cs="Times New Roman"/>
                <w:b/>
                <w:bCs/>
                <w:color w:val="auto"/>
                <w:sz w:val="24"/>
                <w:szCs w:val="24"/>
                <w:lang w:eastAsia="zh-CN" w:bidi="ar-SA"/>
              </w:rPr>
            </w:pPr>
            <w:r>
              <w:rPr>
                <w:rFonts w:hint="default" w:ascii="Times New Roman" w:hAnsi="Times New Roman" w:eastAsia="宋体" w:cs="Times New Roman"/>
                <w:b/>
                <w:bCs/>
                <w:color w:val="auto"/>
                <w:sz w:val="24"/>
                <w:szCs w:val="24"/>
                <w:lang w:val="en-US" w:eastAsia="zh-CN" w:bidi="ar-SA"/>
              </w:rPr>
              <w:t>行政区</w:t>
            </w:r>
          </w:p>
        </w:tc>
        <w:tc>
          <w:tcPr>
            <w:tcW w:w="956" w:type="pct"/>
            <w:vMerge w:val="restart"/>
            <w:tcBorders>
              <w:tl2br w:val="nil"/>
              <w:tr2bl w:val="nil"/>
            </w:tcBorders>
            <w:noWrap w:val="0"/>
            <w:vAlign w:val="center"/>
          </w:tcPr>
          <w:p w14:paraId="04AF3BB1">
            <w:pPr>
              <w:spacing w:after="0" w:line="300" w:lineRule="exact"/>
              <w:jc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预防面积</w:t>
            </w:r>
          </w:p>
          <w:p w14:paraId="6E5FFE94">
            <w:pPr>
              <w:spacing w:after="0" w:line="300" w:lineRule="exact"/>
              <w:jc w:val="center"/>
              <w:rPr>
                <w:rFonts w:hint="default" w:ascii="Times New Roman" w:hAnsi="Times New Roman" w:eastAsia="宋体" w:cs="Times New Roman"/>
                <w:b/>
                <w:bCs/>
                <w:color w:val="auto"/>
                <w:sz w:val="24"/>
                <w:szCs w:val="24"/>
                <w:lang w:eastAsia="zh-CN" w:bidi="ar-SA"/>
              </w:rPr>
            </w:pPr>
            <w:r>
              <w:rPr>
                <w:rFonts w:hint="default" w:ascii="Times New Roman" w:hAnsi="Times New Roman" w:eastAsia="宋体" w:cs="Times New Roman"/>
                <w:b/>
                <w:bCs/>
                <w:color w:val="auto"/>
                <w:sz w:val="24"/>
                <w:szCs w:val="24"/>
                <w:lang w:val="en-US" w:eastAsia="zh-CN" w:bidi="ar-SA"/>
              </w:rPr>
              <w:t>（平方公里）</w:t>
            </w:r>
          </w:p>
        </w:tc>
        <w:tc>
          <w:tcPr>
            <w:tcW w:w="978" w:type="pct"/>
            <w:vMerge w:val="restart"/>
            <w:tcBorders>
              <w:tl2br w:val="nil"/>
              <w:tr2bl w:val="nil"/>
            </w:tcBorders>
            <w:noWrap w:val="0"/>
            <w:vAlign w:val="center"/>
          </w:tcPr>
          <w:p w14:paraId="45FE4332">
            <w:pPr>
              <w:spacing w:after="0" w:line="300" w:lineRule="exact"/>
              <w:jc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eastAsia="zh-CN" w:bidi="ar-SA"/>
              </w:rPr>
              <w:t>治理</w:t>
            </w:r>
            <w:r>
              <w:rPr>
                <w:rFonts w:hint="default" w:ascii="Times New Roman" w:hAnsi="Times New Roman" w:eastAsia="宋体" w:cs="Times New Roman"/>
                <w:b/>
                <w:bCs/>
                <w:color w:val="auto"/>
                <w:sz w:val="24"/>
                <w:szCs w:val="24"/>
                <w:lang w:val="en-US" w:eastAsia="zh-CN" w:bidi="ar-SA"/>
              </w:rPr>
              <w:t>面积</w:t>
            </w:r>
          </w:p>
          <w:p w14:paraId="7E252960">
            <w:pPr>
              <w:spacing w:after="0" w:line="300" w:lineRule="exact"/>
              <w:jc w:val="center"/>
              <w:rPr>
                <w:rFonts w:hint="default" w:ascii="Times New Roman" w:hAnsi="Times New Roman" w:eastAsia="宋体" w:cs="Times New Roman"/>
                <w:b/>
                <w:bCs/>
                <w:color w:val="auto"/>
                <w:sz w:val="24"/>
                <w:szCs w:val="24"/>
                <w:lang w:eastAsia="zh-CN" w:bidi="ar-SA"/>
              </w:rPr>
            </w:pPr>
            <w:r>
              <w:rPr>
                <w:rFonts w:hint="default" w:ascii="Times New Roman" w:hAnsi="Times New Roman" w:eastAsia="宋体" w:cs="Times New Roman"/>
                <w:b/>
                <w:bCs/>
                <w:color w:val="auto"/>
                <w:sz w:val="24"/>
                <w:szCs w:val="24"/>
                <w:lang w:val="en-US" w:eastAsia="zh-CN" w:bidi="ar-SA"/>
              </w:rPr>
              <w:t>（平方公里）</w:t>
            </w:r>
          </w:p>
        </w:tc>
        <w:tc>
          <w:tcPr>
            <w:tcW w:w="2258" w:type="pct"/>
            <w:gridSpan w:val="3"/>
            <w:tcBorders>
              <w:tl2br w:val="nil"/>
              <w:tr2bl w:val="nil"/>
            </w:tcBorders>
            <w:noWrap w:val="0"/>
            <w:vAlign w:val="center"/>
          </w:tcPr>
          <w:p w14:paraId="7DD15D33">
            <w:pPr>
              <w:spacing w:after="0" w:line="300" w:lineRule="exact"/>
              <w:jc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水土保持率（%）</w:t>
            </w:r>
          </w:p>
        </w:tc>
      </w:tr>
      <w:tr w14:paraId="0969C0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06" w:type="pct"/>
            <w:vMerge w:val="continue"/>
            <w:tcBorders>
              <w:tl2br w:val="nil"/>
              <w:tr2bl w:val="nil"/>
            </w:tcBorders>
            <w:noWrap w:val="0"/>
            <w:vAlign w:val="center"/>
          </w:tcPr>
          <w:p w14:paraId="244FEDF9">
            <w:pPr>
              <w:spacing w:after="0" w:line="300" w:lineRule="exact"/>
              <w:jc w:val="center"/>
              <w:rPr>
                <w:rFonts w:hint="default" w:ascii="Times New Roman" w:hAnsi="Times New Roman" w:eastAsia="宋体" w:cs="Times New Roman"/>
                <w:b/>
                <w:bCs/>
                <w:color w:val="auto"/>
                <w:sz w:val="24"/>
                <w:szCs w:val="24"/>
                <w:lang w:val="en-US" w:eastAsia="zh-CN" w:bidi="ar-SA"/>
              </w:rPr>
            </w:pPr>
          </w:p>
        </w:tc>
        <w:tc>
          <w:tcPr>
            <w:tcW w:w="956" w:type="pct"/>
            <w:vMerge w:val="continue"/>
            <w:tcBorders>
              <w:tl2br w:val="nil"/>
              <w:tr2bl w:val="nil"/>
            </w:tcBorders>
            <w:noWrap w:val="0"/>
            <w:vAlign w:val="center"/>
          </w:tcPr>
          <w:p w14:paraId="53CE16DA">
            <w:pPr>
              <w:spacing w:after="0" w:line="300" w:lineRule="exact"/>
              <w:jc w:val="center"/>
              <w:rPr>
                <w:rFonts w:hint="default" w:ascii="Times New Roman" w:hAnsi="Times New Roman" w:eastAsia="宋体" w:cs="Times New Roman"/>
                <w:b/>
                <w:bCs/>
                <w:color w:val="auto"/>
                <w:sz w:val="24"/>
                <w:szCs w:val="24"/>
                <w:lang w:val="en-US" w:eastAsia="zh-CN" w:bidi="ar-SA"/>
              </w:rPr>
            </w:pPr>
          </w:p>
        </w:tc>
        <w:tc>
          <w:tcPr>
            <w:tcW w:w="978" w:type="pct"/>
            <w:vMerge w:val="continue"/>
            <w:tcBorders>
              <w:tl2br w:val="nil"/>
              <w:tr2bl w:val="nil"/>
            </w:tcBorders>
            <w:noWrap w:val="0"/>
            <w:vAlign w:val="center"/>
          </w:tcPr>
          <w:p w14:paraId="5A4EB5B1">
            <w:pPr>
              <w:spacing w:after="0" w:line="300" w:lineRule="exact"/>
              <w:jc w:val="center"/>
              <w:rPr>
                <w:rFonts w:hint="default" w:ascii="Times New Roman" w:hAnsi="Times New Roman" w:eastAsia="宋体" w:cs="Times New Roman"/>
                <w:b/>
                <w:bCs/>
                <w:color w:val="auto"/>
                <w:sz w:val="24"/>
                <w:szCs w:val="24"/>
                <w:lang w:val="en-US" w:eastAsia="zh-CN" w:bidi="ar-SA"/>
              </w:rPr>
            </w:pPr>
          </w:p>
        </w:tc>
        <w:tc>
          <w:tcPr>
            <w:tcW w:w="792" w:type="pct"/>
            <w:tcBorders>
              <w:tl2br w:val="nil"/>
              <w:tr2bl w:val="nil"/>
            </w:tcBorders>
            <w:noWrap w:val="0"/>
            <w:vAlign w:val="center"/>
          </w:tcPr>
          <w:p w14:paraId="57CC931B">
            <w:pPr>
              <w:spacing w:after="0" w:line="300" w:lineRule="exact"/>
              <w:jc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2020年</w:t>
            </w:r>
          </w:p>
        </w:tc>
        <w:tc>
          <w:tcPr>
            <w:tcW w:w="748" w:type="pct"/>
            <w:tcBorders>
              <w:tl2br w:val="nil"/>
              <w:tr2bl w:val="nil"/>
            </w:tcBorders>
            <w:noWrap w:val="0"/>
            <w:vAlign w:val="center"/>
          </w:tcPr>
          <w:p w14:paraId="28FA695D">
            <w:pPr>
              <w:spacing w:after="0" w:line="300" w:lineRule="exact"/>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sz w:val="24"/>
                <w:szCs w:val="24"/>
                <w:lang w:val="en-US" w:eastAsia="zh-CN" w:bidi="ar-SA"/>
              </w:rPr>
              <w:t>2025年</w:t>
            </w:r>
          </w:p>
        </w:tc>
        <w:tc>
          <w:tcPr>
            <w:tcW w:w="717" w:type="pct"/>
            <w:tcBorders>
              <w:tl2br w:val="nil"/>
              <w:tr2bl w:val="nil"/>
            </w:tcBorders>
            <w:noWrap w:val="0"/>
            <w:vAlign w:val="center"/>
          </w:tcPr>
          <w:p w14:paraId="5AF24D26">
            <w:pPr>
              <w:spacing w:after="0" w:line="300" w:lineRule="exact"/>
              <w:jc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color w:val="auto"/>
                <w:sz w:val="24"/>
                <w:szCs w:val="24"/>
                <w:lang w:val="en-US" w:eastAsia="zh-CN" w:bidi="ar-SA"/>
              </w:rPr>
              <w:t>提高值</w:t>
            </w:r>
          </w:p>
        </w:tc>
      </w:tr>
      <w:tr w14:paraId="22ECBFA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14:paraId="0D0E5D48">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贵阳市</w:t>
            </w:r>
          </w:p>
        </w:tc>
        <w:tc>
          <w:tcPr>
            <w:tcW w:w="1629" w:type="dxa"/>
            <w:tcBorders>
              <w:tl2br w:val="nil"/>
              <w:tr2bl w:val="nil"/>
            </w:tcBorders>
            <w:noWrap w:val="0"/>
            <w:vAlign w:val="center"/>
          </w:tcPr>
          <w:p w14:paraId="26744AD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609 </w:t>
            </w:r>
          </w:p>
        </w:tc>
        <w:tc>
          <w:tcPr>
            <w:tcW w:w="1667" w:type="dxa"/>
            <w:tcBorders>
              <w:tl2br w:val="nil"/>
              <w:tr2bl w:val="nil"/>
            </w:tcBorders>
            <w:noWrap w:val="0"/>
            <w:vAlign w:val="center"/>
          </w:tcPr>
          <w:p w14:paraId="17F8533D">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540 </w:t>
            </w:r>
          </w:p>
        </w:tc>
        <w:tc>
          <w:tcPr>
            <w:tcW w:w="792" w:type="pct"/>
            <w:tcBorders>
              <w:tl2br w:val="nil"/>
              <w:tr2bl w:val="nil"/>
            </w:tcBorders>
            <w:noWrap w:val="0"/>
            <w:vAlign w:val="center"/>
          </w:tcPr>
          <w:p w14:paraId="7448864C">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77.60</w:t>
            </w:r>
          </w:p>
        </w:tc>
        <w:tc>
          <w:tcPr>
            <w:tcW w:w="748" w:type="pct"/>
            <w:tcBorders>
              <w:tl2br w:val="nil"/>
              <w:tr2bl w:val="nil"/>
            </w:tcBorders>
            <w:noWrap w:val="0"/>
            <w:vAlign w:val="center"/>
          </w:tcPr>
          <w:p w14:paraId="51D092E4">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78.55</w:t>
            </w:r>
          </w:p>
        </w:tc>
        <w:tc>
          <w:tcPr>
            <w:tcW w:w="717" w:type="pct"/>
            <w:tcBorders>
              <w:tl2br w:val="nil"/>
              <w:tr2bl w:val="nil"/>
            </w:tcBorders>
            <w:noWrap w:val="0"/>
            <w:vAlign w:val="center"/>
          </w:tcPr>
          <w:p w14:paraId="36975026">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0.95</w:t>
            </w:r>
          </w:p>
        </w:tc>
      </w:tr>
      <w:tr w14:paraId="5483F2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14:paraId="015FE266">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六盘水市</w:t>
            </w:r>
          </w:p>
        </w:tc>
        <w:tc>
          <w:tcPr>
            <w:tcW w:w="1629" w:type="dxa"/>
            <w:tcBorders>
              <w:tl2br w:val="nil"/>
              <w:tr2bl w:val="nil"/>
            </w:tcBorders>
            <w:noWrap w:val="0"/>
            <w:vAlign w:val="center"/>
          </w:tcPr>
          <w:p w14:paraId="37298DC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145 </w:t>
            </w:r>
          </w:p>
        </w:tc>
        <w:tc>
          <w:tcPr>
            <w:tcW w:w="1667" w:type="dxa"/>
            <w:tcBorders>
              <w:tl2br w:val="nil"/>
              <w:tr2bl w:val="nil"/>
            </w:tcBorders>
            <w:noWrap w:val="0"/>
            <w:vAlign w:val="center"/>
          </w:tcPr>
          <w:p w14:paraId="17799255">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1175 </w:t>
            </w:r>
          </w:p>
        </w:tc>
        <w:tc>
          <w:tcPr>
            <w:tcW w:w="792" w:type="pct"/>
            <w:tcBorders>
              <w:tl2br w:val="nil"/>
              <w:tr2bl w:val="nil"/>
            </w:tcBorders>
            <w:noWrap w:val="0"/>
            <w:vAlign w:val="center"/>
          </w:tcPr>
          <w:p w14:paraId="6A59FD5A">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64.12</w:t>
            </w:r>
          </w:p>
        </w:tc>
        <w:tc>
          <w:tcPr>
            <w:tcW w:w="748" w:type="pct"/>
            <w:tcBorders>
              <w:tl2br w:val="nil"/>
              <w:tr2bl w:val="nil"/>
            </w:tcBorders>
            <w:noWrap w:val="0"/>
            <w:vAlign w:val="center"/>
          </w:tcPr>
          <w:p w14:paraId="58C1499A">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65.99</w:t>
            </w:r>
          </w:p>
        </w:tc>
        <w:tc>
          <w:tcPr>
            <w:tcW w:w="717" w:type="pct"/>
            <w:tcBorders>
              <w:tl2br w:val="nil"/>
              <w:tr2bl w:val="nil"/>
            </w:tcBorders>
            <w:noWrap w:val="0"/>
            <w:vAlign w:val="center"/>
          </w:tcPr>
          <w:p w14:paraId="7225BA7E">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1.87</w:t>
            </w:r>
          </w:p>
        </w:tc>
      </w:tr>
      <w:tr w14:paraId="082C79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14:paraId="41B90588">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遵义市</w:t>
            </w:r>
          </w:p>
        </w:tc>
        <w:tc>
          <w:tcPr>
            <w:tcW w:w="1629" w:type="dxa"/>
            <w:tcBorders>
              <w:tl2br w:val="nil"/>
              <w:tr2bl w:val="nil"/>
            </w:tcBorders>
            <w:noWrap w:val="0"/>
            <w:vAlign w:val="center"/>
          </w:tcPr>
          <w:p w14:paraId="614803B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802 </w:t>
            </w:r>
          </w:p>
        </w:tc>
        <w:tc>
          <w:tcPr>
            <w:tcW w:w="1667" w:type="dxa"/>
            <w:tcBorders>
              <w:tl2br w:val="nil"/>
              <w:tr2bl w:val="nil"/>
            </w:tcBorders>
            <w:noWrap w:val="0"/>
            <w:vAlign w:val="center"/>
          </w:tcPr>
          <w:p w14:paraId="19E7B10F">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3025 </w:t>
            </w:r>
          </w:p>
        </w:tc>
        <w:tc>
          <w:tcPr>
            <w:tcW w:w="792" w:type="pct"/>
            <w:tcBorders>
              <w:tl2br w:val="nil"/>
              <w:tr2bl w:val="nil"/>
            </w:tcBorders>
            <w:noWrap w:val="0"/>
            <w:vAlign w:val="center"/>
          </w:tcPr>
          <w:p w14:paraId="7F3C7ADB">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73.37</w:t>
            </w:r>
          </w:p>
        </w:tc>
        <w:tc>
          <w:tcPr>
            <w:tcW w:w="748" w:type="pct"/>
            <w:tcBorders>
              <w:tl2br w:val="nil"/>
              <w:tr2bl w:val="nil"/>
            </w:tcBorders>
            <w:noWrap w:val="0"/>
            <w:vAlign w:val="center"/>
          </w:tcPr>
          <w:p w14:paraId="03983C64">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75.23</w:t>
            </w:r>
          </w:p>
        </w:tc>
        <w:tc>
          <w:tcPr>
            <w:tcW w:w="717" w:type="pct"/>
            <w:tcBorders>
              <w:tl2br w:val="nil"/>
              <w:tr2bl w:val="nil"/>
            </w:tcBorders>
            <w:noWrap w:val="0"/>
            <w:vAlign w:val="center"/>
          </w:tcPr>
          <w:p w14:paraId="4B5220B3">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1.86</w:t>
            </w:r>
          </w:p>
        </w:tc>
      </w:tr>
      <w:tr w14:paraId="285A27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14:paraId="77F83729">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安顺市</w:t>
            </w:r>
          </w:p>
        </w:tc>
        <w:tc>
          <w:tcPr>
            <w:tcW w:w="1629" w:type="dxa"/>
            <w:tcBorders>
              <w:tl2br w:val="nil"/>
              <w:tr2bl w:val="nil"/>
            </w:tcBorders>
            <w:noWrap w:val="0"/>
            <w:vAlign w:val="center"/>
          </w:tcPr>
          <w:p w14:paraId="7CFF32E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40 </w:t>
            </w:r>
          </w:p>
        </w:tc>
        <w:tc>
          <w:tcPr>
            <w:tcW w:w="1667" w:type="dxa"/>
            <w:tcBorders>
              <w:tl2br w:val="nil"/>
              <w:tr2bl w:val="nil"/>
            </w:tcBorders>
            <w:noWrap w:val="0"/>
            <w:vAlign w:val="center"/>
          </w:tcPr>
          <w:p w14:paraId="162F3D39">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610 </w:t>
            </w:r>
          </w:p>
        </w:tc>
        <w:tc>
          <w:tcPr>
            <w:tcW w:w="792" w:type="pct"/>
            <w:tcBorders>
              <w:tl2br w:val="nil"/>
              <w:tr2bl w:val="nil"/>
            </w:tcBorders>
            <w:noWrap w:val="0"/>
            <w:vAlign w:val="center"/>
          </w:tcPr>
          <w:p w14:paraId="1A5D2AFB">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74.08</w:t>
            </w:r>
          </w:p>
        </w:tc>
        <w:tc>
          <w:tcPr>
            <w:tcW w:w="748" w:type="pct"/>
            <w:tcBorders>
              <w:tl2br w:val="nil"/>
              <w:tr2bl w:val="nil"/>
            </w:tcBorders>
            <w:noWrap w:val="0"/>
            <w:vAlign w:val="center"/>
          </w:tcPr>
          <w:p w14:paraId="7864838D">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75.36</w:t>
            </w:r>
          </w:p>
        </w:tc>
        <w:tc>
          <w:tcPr>
            <w:tcW w:w="717" w:type="pct"/>
            <w:tcBorders>
              <w:tl2br w:val="nil"/>
              <w:tr2bl w:val="nil"/>
            </w:tcBorders>
            <w:noWrap w:val="0"/>
            <w:vAlign w:val="center"/>
          </w:tcPr>
          <w:p w14:paraId="3BB8BECA">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1.28</w:t>
            </w:r>
          </w:p>
        </w:tc>
      </w:tr>
      <w:tr w14:paraId="7AD583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14:paraId="53B612C0">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铜仁市</w:t>
            </w:r>
          </w:p>
        </w:tc>
        <w:tc>
          <w:tcPr>
            <w:tcW w:w="1629" w:type="dxa"/>
            <w:tcBorders>
              <w:tl2br w:val="nil"/>
              <w:tr2bl w:val="nil"/>
            </w:tcBorders>
            <w:noWrap w:val="0"/>
            <w:vAlign w:val="center"/>
          </w:tcPr>
          <w:p w14:paraId="54BCBF5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703 </w:t>
            </w:r>
          </w:p>
        </w:tc>
        <w:tc>
          <w:tcPr>
            <w:tcW w:w="1667" w:type="dxa"/>
            <w:tcBorders>
              <w:tl2br w:val="nil"/>
              <w:tr2bl w:val="nil"/>
            </w:tcBorders>
            <w:noWrap w:val="0"/>
            <w:vAlign w:val="center"/>
          </w:tcPr>
          <w:p w14:paraId="67E98FD3">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1900 </w:t>
            </w:r>
          </w:p>
        </w:tc>
        <w:tc>
          <w:tcPr>
            <w:tcW w:w="792" w:type="pct"/>
            <w:tcBorders>
              <w:tl2br w:val="nil"/>
              <w:tr2bl w:val="nil"/>
            </w:tcBorders>
            <w:noWrap w:val="0"/>
            <w:vAlign w:val="center"/>
          </w:tcPr>
          <w:p w14:paraId="51900849">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67.93</w:t>
            </w:r>
          </w:p>
        </w:tc>
        <w:tc>
          <w:tcPr>
            <w:tcW w:w="748" w:type="pct"/>
            <w:tcBorders>
              <w:tl2br w:val="nil"/>
              <w:tr2bl w:val="nil"/>
            </w:tcBorders>
            <w:noWrap w:val="0"/>
            <w:vAlign w:val="center"/>
          </w:tcPr>
          <w:p w14:paraId="22058194">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70.38</w:t>
            </w:r>
          </w:p>
        </w:tc>
        <w:tc>
          <w:tcPr>
            <w:tcW w:w="717" w:type="pct"/>
            <w:tcBorders>
              <w:tl2br w:val="nil"/>
              <w:tr2bl w:val="nil"/>
            </w:tcBorders>
            <w:noWrap w:val="0"/>
            <w:vAlign w:val="center"/>
          </w:tcPr>
          <w:p w14:paraId="538597B5">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2.45</w:t>
            </w:r>
          </w:p>
        </w:tc>
      </w:tr>
      <w:tr w14:paraId="24D298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14:paraId="7727383A">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毕节市</w:t>
            </w:r>
          </w:p>
        </w:tc>
        <w:tc>
          <w:tcPr>
            <w:tcW w:w="1629" w:type="dxa"/>
            <w:tcBorders>
              <w:tl2br w:val="nil"/>
              <w:tr2bl w:val="nil"/>
            </w:tcBorders>
            <w:noWrap w:val="0"/>
            <w:vAlign w:val="center"/>
          </w:tcPr>
          <w:p w14:paraId="16F48D3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132 </w:t>
            </w:r>
          </w:p>
        </w:tc>
        <w:tc>
          <w:tcPr>
            <w:tcW w:w="1667" w:type="dxa"/>
            <w:tcBorders>
              <w:tl2br w:val="nil"/>
              <w:tr2bl w:val="nil"/>
            </w:tcBorders>
            <w:noWrap w:val="0"/>
            <w:vAlign w:val="center"/>
          </w:tcPr>
          <w:p w14:paraId="3DBD1E19">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3450 </w:t>
            </w:r>
          </w:p>
        </w:tc>
        <w:tc>
          <w:tcPr>
            <w:tcW w:w="792" w:type="pct"/>
            <w:tcBorders>
              <w:tl2br w:val="nil"/>
              <w:tr2bl w:val="nil"/>
            </w:tcBorders>
            <w:noWrap w:val="0"/>
            <w:vAlign w:val="center"/>
          </w:tcPr>
          <w:p w14:paraId="2A6F367A">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62.91</w:t>
            </w:r>
          </w:p>
        </w:tc>
        <w:tc>
          <w:tcPr>
            <w:tcW w:w="748" w:type="pct"/>
            <w:tcBorders>
              <w:tl2br w:val="nil"/>
              <w:tr2bl w:val="nil"/>
            </w:tcBorders>
            <w:noWrap w:val="0"/>
            <w:vAlign w:val="center"/>
          </w:tcPr>
          <w:p w14:paraId="75C79BC0">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65.07</w:t>
            </w:r>
          </w:p>
        </w:tc>
        <w:tc>
          <w:tcPr>
            <w:tcW w:w="717" w:type="pct"/>
            <w:tcBorders>
              <w:tl2br w:val="nil"/>
              <w:tr2bl w:val="nil"/>
            </w:tcBorders>
            <w:noWrap w:val="0"/>
            <w:vAlign w:val="center"/>
          </w:tcPr>
          <w:p w14:paraId="4990C566">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2.16</w:t>
            </w:r>
          </w:p>
        </w:tc>
      </w:tr>
      <w:tr w14:paraId="5792DC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14:paraId="1B5C9A6D">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黔西南州</w:t>
            </w:r>
          </w:p>
        </w:tc>
        <w:tc>
          <w:tcPr>
            <w:tcW w:w="1629" w:type="dxa"/>
            <w:tcBorders>
              <w:tl2br w:val="nil"/>
              <w:tr2bl w:val="nil"/>
            </w:tcBorders>
            <w:noWrap w:val="0"/>
            <w:vAlign w:val="center"/>
          </w:tcPr>
          <w:p w14:paraId="1F80FD8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193 </w:t>
            </w:r>
          </w:p>
        </w:tc>
        <w:tc>
          <w:tcPr>
            <w:tcW w:w="1667" w:type="dxa"/>
            <w:tcBorders>
              <w:tl2br w:val="nil"/>
              <w:tr2bl w:val="nil"/>
            </w:tcBorders>
            <w:noWrap w:val="0"/>
            <w:vAlign w:val="center"/>
          </w:tcPr>
          <w:p w14:paraId="4DA0F676">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1650 </w:t>
            </w:r>
          </w:p>
        </w:tc>
        <w:tc>
          <w:tcPr>
            <w:tcW w:w="792" w:type="pct"/>
            <w:tcBorders>
              <w:tl2br w:val="nil"/>
              <w:tr2bl w:val="nil"/>
            </w:tcBorders>
            <w:noWrap w:val="0"/>
            <w:vAlign w:val="center"/>
          </w:tcPr>
          <w:p w14:paraId="4795019A">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70.97</w:t>
            </w:r>
          </w:p>
        </w:tc>
        <w:tc>
          <w:tcPr>
            <w:tcW w:w="748" w:type="pct"/>
            <w:tcBorders>
              <w:tl2br w:val="nil"/>
              <w:tr2bl w:val="nil"/>
            </w:tcBorders>
            <w:noWrap w:val="0"/>
            <w:vAlign w:val="center"/>
          </w:tcPr>
          <w:p w14:paraId="75CE15BF">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72.76</w:t>
            </w:r>
          </w:p>
        </w:tc>
        <w:tc>
          <w:tcPr>
            <w:tcW w:w="717" w:type="pct"/>
            <w:tcBorders>
              <w:tl2br w:val="nil"/>
              <w:tr2bl w:val="nil"/>
            </w:tcBorders>
            <w:noWrap w:val="0"/>
            <w:vAlign w:val="center"/>
          </w:tcPr>
          <w:p w14:paraId="73BFC5B1">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1.79</w:t>
            </w:r>
          </w:p>
        </w:tc>
      </w:tr>
      <w:tr w14:paraId="47F1B8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14:paraId="7F07D483">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黔东南州</w:t>
            </w:r>
          </w:p>
        </w:tc>
        <w:tc>
          <w:tcPr>
            <w:tcW w:w="1629" w:type="dxa"/>
            <w:tcBorders>
              <w:tl2br w:val="nil"/>
              <w:tr2bl w:val="nil"/>
            </w:tcBorders>
            <w:noWrap w:val="0"/>
            <w:vAlign w:val="center"/>
          </w:tcPr>
          <w:p w14:paraId="1404626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3036 </w:t>
            </w:r>
          </w:p>
        </w:tc>
        <w:tc>
          <w:tcPr>
            <w:tcW w:w="1667" w:type="dxa"/>
            <w:tcBorders>
              <w:tl2br w:val="nil"/>
              <w:tr2bl w:val="nil"/>
            </w:tcBorders>
            <w:noWrap w:val="0"/>
            <w:vAlign w:val="center"/>
          </w:tcPr>
          <w:p w14:paraId="299C7EB7">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1250 </w:t>
            </w:r>
          </w:p>
        </w:tc>
        <w:tc>
          <w:tcPr>
            <w:tcW w:w="792" w:type="pct"/>
            <w:tcBorders>
              <w:tl2br w:val="nil"/>
              <w:tr2bl w:val="nil"/>
            </w:tcBorders>
            <w:noWrap w:val="0"/>
            <w:vAlign w:val="center"/>
          </w:tcPr>
          <w:p w14:paraId="0092F560">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 xml:space="preserve">84.20 </w:t>
            </w:r>
          </w:p>
        </w:tc>
        <w:tc>
          <w:tcPr>
            <w:tcW w:w="748" w:type="pct"/>
            <w:tcBorders>
              <w:tl2br w:val="nil"/>
              <w:tr2bl w:val="nil"/>
            </w:tcBorders>
            <w:noWrap w:val="0"/>
            <w:vAlign w:val="center"/>
          </w:tcPr>
          <w:p w14:paraId="5AE35416">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85.84</w:t>
            </w:r>
          </w:p>
        </w:tc>
        <w:tc>
          <w:tcPr>
            <w:tcW w:w="717" w:type="pct"/>
            <w:tcBorders>
              <w:tl2br w:val="nil"/>
              <w:tr2bl w:val="nil"/>
            </w:tcBorders>
            <w:noWrap w:val="0"/>
            <w:vAlign w:val="center"/>
          </w:tcPr>
          <w:p w14:paraId="4CB623FE">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1.64</w:t>
            </w:r>
          </w:p>
        </w:tc>
      </w:tr>
      <w:tr w14:paraId="4371FF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14:paraId="1328C1A4">
            <w:pPr>
              <w:spacing w:after="0" w:line="300" w:lineRule="exact"/>
              <w:jc w:val="center"/>
              <w:rPr>
                <w:rFonts w:hint="default" w:ascii="Times New Roman" w:hAnsi="Times New Roman" w:eastAsia="宋体" w:cs="Times New Roman"/>
                <w:b w:val="0"/>
                <w:bCs/>
                <w:color w:val="auto"/>
                <w:sz w:val="24"/>
                <w:szCs w:val="24"/>
                <w:lang w:eastAsia="zh-CN" w:bidi="ar-SA"/>
              </w:rPr>
            </w:pPr>
            <w:r>
              <w:rPr>
                <w:rFonts w:hint="default" w:ascii="Times New Roman" w:hAnsi="Times New Roman" w:eastAsia="宋体" w:cs="Times New Roman"/>
                <w:b w:val="0"/>
                <w:bCs/>
                <w:color w:val="auto"/>
                <w:sz w:val="24"/>
                <w:szCs w:val="24"/>
                <w:lang w:eastAsia="zh-CN" w:bidi="ar-SA"/>
              </w:rPr>
              <w:t>黔南州</w:t>
            </w:r>
          </w:p>
        </w:tc>
        <w:tc>
          <w:tcPr>
            <w:tcW w:w="1629" w:type="dxa"/>
            <w:tcBorders>
              <w:tl2br w:val="nil"/>
              <w:tr2bl w:val="nil"/>
            </w:tcBorders>
            <w:noWrap w:val="0"/>
            <w:vAlign w:val="center"/>
          </w:tcPr>
          <w:p w14:paraId="1F4EC8B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u w:val="none"/>
                <w:lang w:val="en-US" w:eastAsia="zh-CN" w:bidi="ar"/>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2140 </w:t>
            </w:r>
          </w:p>
        </w:tc>
        <w:tc>
          <w:tcPr>
            <w:tcW w:w="1667" w:type="dxa"/>
            <w:tcBorders>
              <w:tl2br w:val="nil"/>
              <w:tr2bl w:val="nil"/>
            </w:tcBorders>
            <w:noWrap w:val="0"/>
            <w:vAlign w:val="center"/>
          </w:tcPr>
          <w:p w14:paraId="24A9B60C">
            <w:pPr>
              <w:keepNext w:val="0"/>
              <w:keepLines w:val="0"/>
              <w:widowControl/>
              <w:suppressLineNumbers w:val="0"/>
              <w:jc w:val="center"/>
              <w:textAlignment w:val="center"/>
              <w:rPr>
                <w:rFonts w:hint="default" w:ascii="Times New Roman" w:hAnsi="Times New Roman" w:eastAsia="宋体" w:cs="Times New Roman"/>
                <w:b w:val="0"/>
                <w:bCs w:val="0"/>
                <w:color w:val="auto"/>
                <w:sz w:val="24"/>
                <w:szCs w:val="24"/>
                <w:lang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1300 </w:t>
            </w:r>
          </w:p>
        </w:tc>
        <w:tc>
          <w:tcPr>
            <w:tcW w:w="792" w:type="pct"/>
            <w:tcBorders>
              <w:tl2br w:val="nil"/>
              <w:tr2bl w:val="nil"/>
            </w:tcBorders>
            <w:noWrap w:val="0"/>
            <w:vAlign w:val="center"/>
          </w:tcPr>
          <w:p w14:paraId="01738E19">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78.41</w:t>
            </w:r>
          </w:p>
        </w:tc>
        <w:tc>
          <w:tcPr>
            <w:tcW w:w="748" w:type="pct"/>
            <w:tcBorders>
              <w:tl2br w:val="nil"/>
              <w:tr2bl w:val="nil"/>
            </w:tcBorders>
            <w:noWrap w:val="0"/>
            <w:vAlign w:val="center"/>
          </w:tcPr>
          <w:p w14:paraId="0FBCAB6A">
            <w:pPr>
              <w:keepNext w:val="0"/>
              <w:keepLines w:val="0"/>
              <w:widowControl/>
              <w:suppressLineNumbers w:val="0"/>
              <w:jc w:val="center"/>
              <w:textAlignment w:val="center"/>
              <w:rPr>
                <w:rFonts w:hint="default" w:ascii="Times New Roman" w:hAnsi="Times New Roman" w:eastAsia="宋体" w:cs="Times New Roman"/>
                <w:b w:val="0"/>
                <w:bCs/>
                <w:i w:val="0"/>
                <w:iCs w:val="0"/>
                <w:color w:val="auto"/>
                <w:kern w:val="0"/>
                <w:sz w:val="24"/>
                <w:szCs w:val="24"/>
                <w:u w:val="none"/>
                <w:lang w:val="en-US" w:eastAsia="zh-CN" w:bidi="ar"/>
              </w:rPr>
            </w:pPr>
            <w:r>
              <w:rPr>
                <w:rFonts w:hint="default" w:ascii="Times New Roman" w:hAnsi="Times New Roman" w:eastAsia="宋体" w:cs="Times New Roman"/>
                <w:b w:val="0"/>
                <w:bCs/>
                <w:color w:val="auto"/>
                <w:sz w:val="24"/>
                <w:szCs w:val="24"/>
                <w:lang w:eastAsia="zh-CN" w:bidi="ar"/>
              </w:rPr>
              <w:t>79.49</w:t>
            </w:r>
          </w:p>
        </w:tc>
        <w:tc>
          <w:tcPr>
            <w:tcW w:w="717" w:type="pct"/>
            <w:tcBorders>
              <w:tl2br w:val="nil"/>
              <w:tr2bl w:val="nil"/>
            </w:tcBorders>
            <w:noWrap w:val="0"/>
            <w:vAlign w:val="center"/>
          </w:tcPr>
          <w:p w14:paraId="7347A12F">
            <w:pPr>
              <w:keepNext w:val="0"/>
              <w:keepLines w:val="0"/>
              <w:widowControl/>
              <w:suppressLineNumbers w:val="0"/>
              <w:jc w:val="center"/>
              <w:textAlignment w:val="center"/>
              <w:rPr>
                <w:rFonts w:hint="default" w:ascii="Times New Roman" w:hAnsi="Times New Roman" w:eastAsia="宋体" w:cs="Times New Roman"/>
                <w:b w:val="0"/>
                <w:bCs/>
                <w:color w:val="auto"/>
                <w:sz w:val="24"/>
                <w:szCs w:val="24"/>
                <w:lang w:eastAsia="zh-CN" w:bidi="ar"/>
              </w:rPr>
            </w:pPr>
            <w:r>
              <w:rPr>
                <w:rFonts w:hint="default" w:ascii="Times New Roman" w:hAnsi="Times New Roman" w:eastAsia="宋体" w:cs="Times New Roman"/>
                <w:b w:val="0"/>
                <w:bCs/>
                <w:i w:val="0"/>
                <w:iCs w:val="0"/>
                <w:color w:val="auto"/>
                <w:kern w:val="0"/>
                <w:sz w:val="24"/>
                <w:szCs w:val="24"/>
                <w:u w:val="none"/>
                <w:lang w:val="en-US" w:eastAsia="zh-CN" w:bidi="ar"/>
              </w:rPr>
              <w:t>1.08</w:t>
            </w:r>
          </w:p>
        </w:tc>
      </w:tr>
      <w:tr w14:paraId="2A44B9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pct"/>
            <w:tcBorders>
              <w:tl2br w:val="nil"/>
              <w:tr2bl w:val="nil"/>
            </w:tcBorders>
            <w:noWrap w:val="0"/>
            <w:vAlign w:val="center"/>
          </w:tcPr>
          <w:p w14:paraId="4A50A6FE">
            <w:pPr>
              <w:spacing w:after="0" w:line="300" w:lineRule="exact"/>
              <w:jc w:val="center"/>
              <w:rPr>
                <w:rFonts w:hint="default" w:ascii="Times New Roman" w:hAnsi="Times New Roman" w:eastAsia="宋体" w:cs="Times New Roman"/>
                <w:b/>
                <w:color w:val="auto"/>
                <w:sz w:val="24"/>
                <w:szCs w:val="24"/>
                <w:lang w:eastAsia="zh-CN" w:bidi="ar-SA"/>
              </w:rPr>
            </w:pPr>
            <w:r>
              <w:rPr>
                <w:rFonts w:hint="default" w:ascii="Times New Roman" w:hAnsi="Times New Roman" w:eastAsia="宋体" w:cs="Times New Roman"/>
                <w:b/>
                <w:color w:val="auto"/>
                <w:sz w:val="24"/>
                <w:szCs w:val="24"/>
                <w:lang w:eastAsia="zh-CN" w:bidi="ar-SA"/>
              </w:rPr>
              <w:t>合计</w:t>
            </w:r>
          </w:p>
        </w:tc>
        <w:tc>
          <w:tcPr>
            <w:tcW w:w="956" w:type="pct"/>
            <w:tcBorders>
              <w:tl2br w:val="nil"/>
              <w:tr2bl w:val="nil"/>
            </w:tcBorders>
            <w:noWrap w:val="0"/>
            <w:vAlign w:val="center"/>
          </w:tcPr>
          <w:p w14:paraId="4F41B1A5">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7800</w:t>
            </w:r>
          </w:p>
        </w:tc>
        <w:tc>
          <w:tcPr>
            <w:tcW w:w="978" w:type="pct"/>
            <w:tcBorders>
              <w:tl2br w:val="nil"/>
              <w:tr2bl w:val="nil"/>
            </w:tcBorders>
            <w:noWrap w:val="0"/>
            <w:vAlign w:val="center"/>
          </w:tcPr>
          <w:p w14:paraId="6DE2E3B3">
            <w:pPr>
              <w:keepNext w:val="0"/>
              <w:keepLines w:val="0"/>
              <w:widowControl/>
              <w:suppressLineNumbers w:val="0"/>
              <w:jc w:val="center"/>
              <w:textAlignment w:val="center"/>
              <w:rPr>
                <w:rFonts w:hint="default" w:ascii="Times New Roman" w:hAnsi="Times New Roman" w:eastAsia="宋体" w:cs="Times New Roman"/>
                <w:b/>
                <w:bCs/>
                <w:color w:val="auto"/>
                <w:sz w:val="24"/>
                <w:szCs w:val="24"/>
                <w:lang w:val="en-US" w:eastAsia="zh-CN" w:bidi="ar-SA"/>
              </w:rPr>
            </w:pPr>
            <w:r>
              <w:rPr>
                <w:rFonts w:hint="default" w:ascii="Times New Roman" w:hAnsi="Times New Roman" w:eastAsia="宋体" w:cs="Times New Roman"/>
                <w:b/>
                <w:bCs/>
                <w:i w:val="0"/>
                <w:iCs w:val="0"/>
                <w:color w:val="auto"/>
                <w:kern w:val="0"/>
                <w:sz w:val="24"/>
                <w:szCs w:val="24"/>
                <w:u w:val="none"/>
                <w:lang w:val="en-US" w:eastAsia="zh-CN" w:bidi="ar"/>
              </w:rPr>
              <w:t>14900</w:t>
            </w:r>
          </w:p>
        </w:tc>
        <w:tc>
          <w:tcPr>
            <w:tcW w:w="792" w:type="pct"/>
            <w:tcBorders>
              <w:tl2br w:val="nil"/>
              <w:tr2bl w:val="nil"/>
            </w:tcBorders>
            <w:noWrap w:val="0"/>
            <w:vAlign w:val="center"/>
          </w:tcPr>
          <w:p w14:paraId="75A914FA">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73.32</w:t>
            </w:r>
          </w:p>
        </w:tc>
        <w:tc>
          <w:tcPr>
            <w:tcW w:w="748" w:type="pct"/>
            <w:tcBorders>
              <w:tl2br w:val="nil"/>
              <w:tr2bl w:val="nil"/>
            </w:tcBorders>
            <w:noWrap w:val="0"/>
            <w:vAlign w:val="center"/>
          </w:tcPr>
          <w:p w14:paraId="55E38AF7">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75.05</w:t>
            </w:r>
          </w:p>
        </w:tc>
        <w:tc>
          <w:tcPr>
            <w:tcW w:w="717" w:type="pct"/>
            <w:tcBorders>
              <w:tl2br w:val="nil"/>
              <w:tr2bl w:val="nil"/>
            </w:tcBorders>
            <w:noWrap w:val="0"/>
            <w:vAlign w:val="center"/>
          </w:tcPr>
          <w:p w14:paraId="08021E8F">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1.73</w:t>
            </w:r>
          </w:p>
        </w:tc>
      </w:tr>
    </w:tbl>
    <w:p w14:paraId="14628F79">
      <w:pPr>
        <w:spacing w:after="0"/>
        <w:jc w:val="both"/>
        <w:rPr>
          <w:rFonts w:hint="default" w:ascii="Times New Roman" w:hAnsi="Times New Roman" w:eastAsia="宋体" w:cs="Times New Roman"/>
          <w:b/>
          <w:bCs/>
          <w:color w:val="auto"/>
          <w:sz w:val="28"/>
          <w:szCs w:val="28"/>
          <w:lang w:eastAsia="zh-CN"/>
        </w:rPr>
      </w:pPr>
      <w:bookmarkStart w:id="113" w:name="_Toc24169"/>
    </w:p>
    <w:p w14:paraId="25C8FDBD">
      <w:pPr>
        <w:spacing w:after="0"/>
        <w:jc w:val="both"/>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主要流域水土流失治理任务分解表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36"/>
        <w:gridCol w:w="1316"/>
        <w:gridCol w:w="1100"/>
        <w:gridCol w:w="1183"/>
        <w:gridCol w:w="1231"/>
        <w:gridCol w:w="933"/>
        <w:gridCol w:w="937"/>
        <w:gridCol w:w="883"/>
      </w:tblGrid>
      <w:tr w14:paraId="2852A1F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Header/>
        </w:trPr>
        <w:tc>
          <w:tcPr>
            <w:tcW w:w="558" w:type="pct"/>
            <w:vMerge w:val="restart"/>
            <w:tcBorders>
              <w:tl2br w:val="nil"/>
              <w:tr2bl w:val="nil"/>
            </w:tcBorders>
            <w:shd w:val="clear" w:color="auto" w:fill="auto"/>
            <w:noWrap/>
            <w:vAlign w:val="center"/>
          </w:tcPr>
          <w:p w14:paraId="39C404E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流域</w:t>
            </w:r>
          </w:p>
        </w:tc>
        <w:tc>
          <w:tcPr>
            <w:tcW w:w="754" w:type="pct"/>
            <w:vMerge w:val="restart"/>
            <w:tcBorders>
              <w:tl2br w:val="nil"/>
              <w:tr2bl w:val="nil"/>
            </w:tcBorders>
            <w:shd w:val="clear" w:color="auto" w:fill="auto"/>
            <w:noWrap/>
            <w:vAlign w:val="center"/>
          </w:tcPr>
          <w:p w14:paraId="7BE2BCF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水系</w:t>
            </w:r>
          </w:p>
        </w:tc>
        <w:tc>
          <w:tcPr>
            <w:tcW w:w="2065" w:type="pct"/>
            <w:gridSpan w:val="3"/>
            <w:tcBorders>
              <w:tl2br w:val="nil"/>
              <w:tr2bl w:val="nil"/>
            </w:tcBorders>
            <w:shd w:val="clear" w:color="auto" w:fill="auto"/>
            <w:noWrap/>
            <w:vAlign w:val="center"/>
          </w:tcPr>
          <w:p w14:paraId="67EB763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水土流失治理面积（km²）</w:t>
            </w:r>
          </w:p>
        </w:tc>
        <w:tc>
          <w:tcPr>
            <w:tcW w:w="1621" w:type="pct"/>
            <w:gridSpan w:val="3"/>
            <w:tcBorders>
              <w:tl2br w:val="nil"/>
              <w:tr2bl w:val="nil"/>
            </w:tcBorders>
            <w:shd w:val="clear" w:color="auto" w:fill="auto"/>
            <w:noWrap/>
            <w:vAlign w:val="center"/>
          </w:tcPr>
          <w:p w14:paraId="7613C95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水土保持率（%）</w:t>
            </w:r>
          </w:p>
        </w:tc>
      </w:tr>
      <w:tr w14:paraId="3596F01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blHeader/>
        </w:trPr>
        <w:tc>
          <w:tcPr>
            <w:tcW w:w="558" w:type="pct"/>
            <w:vMerge w:val="continue"/>
            <w:tcBorders>
              <w:tl2br w:val="nil"/>
              <w:tr2bl w:val="nil"/>
            </w:tcBorders>
            <w:shd w:val="clear" w:color="auto" w:fill="auto"/>
            <w:noWrap/>
            <w:vAlign w:val="center"/>
          </w:tcPr>
          <w:p w14:paraId="49AA1A3C">
            <w:pPr>
              <w:jc w:val="center"/>
              <w:rPr>
                <w:rFonts w:hint="default" w:ascii="Times New Roman" w:hAnsi="Times New Roman" w:eastAsia="宋体" w:cs="Times New Roman"/>
                <w:b/>
                <w:bCs/>
                <w:i w:val="0"/>
                <w:iCs w:val="0"/>
                <w:color w:val="auto"/>
                <w:sz w:val="22"/>
                <w:szCs w:val="22"/>
                <w:u w:val="none"/>
              </w:rPr>
            </w:pPr>
          </w:p>
        </w:tc>
        <w:tc>
          <w:tcPr>
            <w:tcW w:w="754" w:type="pct"/>
            <w:vMerge w:val="continue"/>
            <w:tcBorders>
              <w:tl2br w:val="nil"/>
              <w:tr2bl w:val="nil"/>
            </w:tcBorders>
            <w:shd w:val="clear" w:color="auto" w:fill="auto"/>
            <w:noWrap/>
            <w:vAlign w:val="center"/>
          </w:tcPr>
          <w:p w14:paraId="68AB2F19">
            <w:pPr>
              <w:jc w:val="center"/>
              <w:rPr>
                <w:rFonts w:hint="default" w:ascii="Times New Roman" w:hAnsi="Times New Roman" w:eastAsia="宋体" w:cs="Times New Roman"/>
                <w:b/>
                <w:bCs/>
                <w:i w:val="0"/>
                <w:iCs w:val="0"/>
                <w:color w:val="auto"/>
                <w:sz w:val="22"/>
                <w:szCs w:val="22"/>
                <w:u w:val="none"/>
              </w:rPr>
            </w:pPr>
          </w:p>
        </w:tc>
        <w:tc>
          <w:tcPr>
            <w:tcW w:w="630" w:type="pct"/>
            <w:tcBorders>
              <w:tl2br w:val="nil"/>
              <w:tr2bl w:val="nil"/>
            </w:tcBorders>
            <w:shd w:val="clear" w:color="auto" w:fill="auto"/>
            <w:noWrap/>
            <w:vAlign w:val="center"/>
          </w:tcPr>
          <w:p w14:paraId="09BD4600">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市（州）</w:t>
            </w:r>
          </w:p>
        </w:tc>
        <w:tc>
          <w:tcPr>
            <w:tcW w:w="703" w:type="pct"/>
            <w:tcBorders>
              <w:tl2br w:val="nil"/>
              <w:tr2bl w:val="nil"/>
            </w:tcBorders>
            <w:shd w:val="clear" w:color="auto" w:fill="auto"/>
            <w:noWrap/>
            <w:vAlign w:val="center"/>
          </w:tcPr>
          <w:p w14:paraId="5AC31FBE">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w:t>
            </w:r>
          </w:p>
        </w:tc>
        <w:tc>
          <w:tcPr>
            <w:tcW w:w="731" w:type="pct"/>
            <w:tcBorders>
              <w:tl2br w:val="nil"/>
              <w:tr2bl w:val="nil"/>
            </w:tcBorders>
            <w:shd w:val="clear" w:color="auto" w:fill="auto"/>
            <w:noWrap/>
            <w:vAlign w:val="center"/>
          </w:tcPr>
          <w:p w14:paraId="512B06BE">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治理面积</w:t>
            </w:r>
          </w:p>
        </w:tc>
        <w:tc>
          <w:tcPr>
            <w:tcW w:w="537" w:type="pct"/>
            <w:tcBorders>
              <w:tl2br w:val="nil"/>
              <w:tr2bl w:val="nil"/>
            </w:tcBorders>
            <w:shd w:val="clear" w:color="auto" w:fill="auto"/>
            <w:noWrap/>
            <w:vAlign w:val="center"/>
          </w:tcPr>
          <w:p w14:paraId="1012BEFA">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2020年</w:t>
            </w:r>
          </w:p>
        </w:tc>
        <w:tc>
          <w:tcPr>
            <w:tcW w:w="558" w:type="pct"/>
            <w:tcBorders>
              <w:tl2br w:val="nil"/>
              <w:tr2bl w:val="nil"/>
            </w:tcBorders>
            <w:shd w:val="clear" w:color="auto" w:fill="auto"/>
            <w:noWrap/>
            <w:vAlign w:val="center"/>
          </w:tcPr>
          <w:p w14:paraId="4590556F">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2025年</w:t>
            </w:r>
          </w:p>
        </w:tc>
        <w:tc>
          <w:tcPr>
            <w:tcW w:w="525" w:type="pct"/>
            <w:tcBorders>
              <w:tl2br w:val="nil"/>
              <w:tr2bl w:val="nil"/>
            </w:tcBorders>
            <w:shd w:val="clear" w:color="auto" w:fill="auto"/>
            <w:noWrap/>
            <w:vAlign w:val="center"/>
          </w:tcPr>
          <w:p w14:paraId="55B3CA84">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提高值</w:t>
            </w:r>
          </w:p>
        </w:tc>
      </w:tr>
      <w:tr w14:paraId="6CD7803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restart"/>
            <w:tcBorders>
              <w:tl2br w:val="nil"/>
              <w:tr2bl w:val="nil"/>
            </w:tcBorders>
            <w:shd w:val="clear" w:color="auto" w:fill="auto"/>
            <w:noWrap/>
            <w:vAlign w:val="center"/>
          </w:tcPr>
          <w:p w14:paraId="59FFD4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长江</w:t>
            </w:r>
          </w:p>
        </w:tc>
        <w:tc>
          <w:tcPr>
            <w:tcW w:w="754" w:type="pct"/>
            <w:vMerge w:val="restart"/>
            <w:tcBorders>
              <w:tl2br w:val="nil"/>
              <w:tr2bl w:val="nil"/>
            </w:tcBorders>
            <w:shd w:val="clear" w:color="auto" w:fill="auto"/>
            <w:noWrap/>
            <w:vAlign w:val="center"/>
          </w:tcPr>
          <w:p w14:paraId="24DD213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乌江水系</w:t>
            </w:r>
          </w:p>
        </w:tc>
        <w:tc>
          <w:tcPr>
            <w:tcW w:w="630" w:type="pct"/>
            <w:tcBorders>
              <w:tl2br w:val="nil"/>
              <w:tr2bl w:val="nil"/>
            </w:tcBorders>
            <w:shd w:val="clear" w:color="auto" w:fill="auto"/>
            <w:noWrap/>
            <w:vAlign w:val="center"/>
          </w:tcPr>
          <w:p w14:paraId="04E3BEC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703" w:type="pct"/>
            <w:tcBorders>
              <w:tl2br w:val="nil"/>
              <w:tr2bl w:val="nil"/>
            </w:tcBorders>
            <w:shd w:val="clear" w:color="auto" w:fill="auto"/>
            <w:noWrap/>
            <w:vAlign w:val="center"/>
          </w:tcPr>
          <w:p w14:paraId="637AEFB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1799.56 </w:t>
            </w:r>
          </w:p>
        </w:tc>
        <w:tc>
          <w:tcPr>
            <w:tcW w:w="731" w:type="pct"/>
            <w:tcBorders>
              <w:tl2br w:val="nil"/>
              <w:tr2bl w:val="nil"/>
            </w:tcBorders>
            <w:shd w:val="clear" w:color="auto" w:fill="auto"/>
            <w:noWrap/>
            <w:vAlign w:val="center"/>
          </w:tcPr>
          <w:p w14:paraId="6ADAB90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540 </w:t>
            </w:r>
          </w:p>
        </w:tc>
        <w:tc>
          <w:tcPr>
            <w:tcW w:w="537" w:type="pct"/>
            <w:vMerge w:val="restart"/>
            <w:tcBorders>
              <w:tl2br w:val="nil"/>
              <w:tr2bl w:val="nil"/>
            </w:tcBorders>
            <w:shd w:val="clear" w:color="auto" w:fill="auto"/>
            <w:noWrap/>
            <w:vAlign w:val="center"/>
          </w:tcPr>
          <w:p w14:paraId="222C8B3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69.43 </w:t>
            </w:r>
          </w:p>
        </w:tc>
        <w:tc>
          <w:tcPr>
            <w:tcW w:w="558" w:type="pct"/>
            <w:vMerge w:val="restart"/>
            <w:tcBorders>
              <w:tl2br w:val="nil"/>
              <w:tr2bl w:val="nil"/>
            </w:tcBorders>
            <w:shd w:val="clear" w:color="auto" w:fill="auto"/>
            <w:noWrap/>
            <w:vAlign w:val="center"/>
          </w:tcPr>
          <w:p w14:paraId="68B2340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71.35 </w:t>
            </w:r>
          </w:p>
        </w:tc>
        <w:tc>
          <w:tcPr>
            <w:tcW w:w="525" w:type="pct"/>
            <w:vMerge w:val="restart"/>
            <w:tcBorders>
              <w:tl2br w:val="nil"/>
              <w:tr2bl w:val="nil"/>
            </w:tcBorders>
            <w:shd w:val="clear" w:color="auto" w:fill="auto"/>
            <w:noWrap/>
            <w:vAlign w:val="center"/>
          </w:tcPr>
          <w:p w14:paraId="63BB59C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1.92 </w:t>
            </w:r>
          </w:p>
        </w:tc>
      </w:tr>
      <w:tr w14:paraId="24A5F23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3A018E4E">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6296F875">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73661A5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703" w:type="pct"/>
            <w:tcBorders>
              <w:tl2br w:val="nil"/>
              <w:tr2bl w:val="nil"/>
            </w:tcBorders>
            <w:shd w:val="clear" w:color="auto" w:fill="auto"/>
            <w:noWrap/>
            <w:vAlign w:val="center"/>
          </w:tcPr>
          <w:p w14:paraId="7CC687A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210.74 </w:t>
            </w:r>
          </w:p>
        </w:tc>
        <w:tc>
          <w:tcPr>
            <w:tcW w:w="731" w:type="pct"/>
            <w:tcBorders>
              <w:tl2br w:val="nil"/>
              <w:tr2bl w:val="nil"/>
            </w:tcBorders>
            <w:shd w:val="clear" w:color="auto" w:fill="auto"/>
            <w:noWrap/>
            <w:vAlign w:val="center"/>
          </w:tcPr>
          <w:p w14:paraId="3C93374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100 </w:t>
            </w:r>
          </w:p>
        </w:tc>
        <w:tc>
          <w:tcPr>
            <w:tcW w:w="537" w:type="pct"/>
            <w:vMerge w:val="continue"/>
            <w:tcBorders>
              <w:tl2br w:val="nil"/>
              <w:tr2bl w:val="nil"/>
            </w:tcBorders>
            <w:shd w:val="clear" w:color="auto" w:fill="auto"/>
            <w:noWrap/>
            <w:vAlign w:val="center"/>
          </w:tcPr>
          <w:p w14:paraId="783DAA1E">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7EB2617B">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38347314">
            <w:pPr>
              <w:jc w:val="center"/>
              <w:rPr>
                <w:rFonts w:hint="default" w:ascii="Times New Roman" w:hAnsi="Times New Roman" w:eastAsia="宋体" w:cs="Times New Roman"/>
                <w:i w:val="0"/>
                <w:iCs w:val="0"/>
                <w:color w:val="auto"/>
                <w:sz w:val="22"/>
                <w:szCs w:val="22"/>
                <w:u w:val="none"/>
              </w:rPr>
            </w:pPr>
          </w:p>
        </w:tc>
      </w:tr>
      <w:tr w14:paraId="19AE981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6321DCFF">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0EA08118">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61A9E35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703" w:type="pct"/>
            <w:tcBorders>
              <w:tl2br w:val="nil"/>
              <w:tr2bl w:val="nil"/>
            </w:tcBorders>
            <w:shd w:val="clear" w:color="auto" w:fill="auto"/>
            <w:noWrap/>
            <w:vAlign w:val="center"/>
          </w:tcPr>
          <w:p w14:paraId="4AC4E56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5163.30 </w:t>
            </w:r>
          </w:p>
        </w:tc>
        <w:tc>
          <w:tcPr>
            <w:tcW w:w="731" w:type="pct"/>
            <w:tcBorders>
              <w:tl2br w:val="nil"/>
              <w:tr2bl w:val="nil"/>
            </w:tcBorders>
            <w:shd w:val="clear" w:color="auto" w:fill="auto"/>
            <w:noWrap/>
            <w:vAlign w:val="center"/>
          </w:tcPr>
          <w:p w14:paraId="7A1332D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1873 </w:t>
            </w:r>
          </w:p>
        </w:tc>
        <w:tc>
          <w:tcPr>
            <w:tcW w:w="537" w:type="pct"/>
            <w:vMerge w:val="continue"/>
            <w:tcBorders>
              <w:tl2br w:val="nil"/>
              <w:tr2bl w:val="nil"/>
            </w:tcBorders>
            <w:shd w:val="clear" w:color="auto" w:fill="auto"/>
            <w:noWrap/>
            <w:vAlign w:val="center"/>
          </w:tcPr>
          <w:p w14:paraId="0FC75E06">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5CCC9AD8">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63D0002C">
            <w:pPr>
              <w:jc w:val="center"/>
              <w:rPr>
                <w:rFonts w:hint="default" w:ascii="Times New Roman" w:hAnsi="Times New Roman" w:eastAsia="宋体" w:cs="Times New Roman"/>
                <w:i w:val="0"/>
                <w:iCs w:val="0"/>
                <w:color w:val="auto"/>
                <w:sz w:val="22"/>
                <w:szCs w:val="22"/>
                <w:u w:val="none"/>
              </w:rPr>
            </w:pPr>
          </w:p>
        </w:tc>
      </w:tr>
      <w:tr w14:paraId="6088E50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5A68F37B">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33A4B668">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1DAD2DB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703" w:type="pct"/>
            <w:tcBorders>
              <w:tl2br w:val="nil"/>
              <w:tr2bl w:val="nil"/>
            </w:tcBorders>
            <w:shd w:val="clear" w:color="auto" w:fill="auto"/>
            <w:noWrap/>
            <w:vAlign w:val="center"/>
          </w:tcPr>
          <w:p w14:paraId="1943519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786.63 </w:t>
            </w:r>
          </w:p>
        </w:tc>
        <w:tc>
          <w:tcPr>
            <w:tcW w:w="731" w:type="pct"/>
            <w:tcBorders>
              <w:tl2br w:val="nil"/>
              <w:tr2bl w:val="nil"/>
            </w:tcBorders>
            <w:shd w:val="clear" w:color="auto" w:fill="auto"/>
            <w:noWrap/>
            <w:vAlign w:val="center"/>
          </w:tcPr>
          <w:p w14:paraId="4A6E577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280 </w:t>
            </w:r>
          </w:p>
        </w:tc>
        <w:tc>
          <w:tcPr>
            <w:tcW w:w="537" w:type="pct"/>
            <w:vMerge w:val="continue"/>
            <w:tcBorders>
              <w:tl2br w:val="nil"/>
              <w:tr2bl w:val="nil"/>
            </w:tcBorders>
            <w:shd w:val="clear" w:color="auto" w:fill="auto"/>
            <w:noWrap/>
            <w:vAlign w:val="center"/>
          </w:tcPr>
          <w:p w14:paraId="23C5D755">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6A5DB4E3">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5003A599">
            <w:pPr>
              <w:jc w:val="center"/>
              <w:rPr>
                <w:rFonts w:hint="default" w:ascii="Times New Roman" w:hAnsi="Times New Roman" w:eastAsia="宋体" w:cs="Times New Roman"/>
                <w:i w:val="0"/>
                <w:iCs w:val="0"/>
                <w:color w:val="auto"/>
                <w:sz w:val="22"/>
                <w:szCs w:val="22"/>
                <w:u w:val="none"/>
              </w:rPr>
            </w:pPr>
          </w:p>
        </w:tc>
      </w:tr>
      <w:tr w14:paraId="57BA1C1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26CD7907">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4E4831CF">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5BFEF7D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铜仁市</w:t>
            </w:r>
          </w:p>
        </w:tc>
        <w:tc>
          <w:tcPr>
            <w:tcW w:w="703" w:type="pct"/>
            <w:tcBorders>
              <w:tl2br w:val="nil"/>
              <w:tr2bl w:val="nil"/>
            </w:tcBorders>
            <w:shd w:val="clear" w:color="auto" w:fill="auto"/>
            <w:noWrap/>
            <w:vAlign w:val="center"/>
          </w:tcPr>
          <w:p w14:paraId="23641CE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4098.41 </w:t>
            </w:r>
          </w:p>
        </w:tc>
        <w:tc>
          <w:tcPr>
            <w:tcW w:w="731" w:type="pct"/>
            <w:tcBorders>
              <w:tl2br w:val="nil"/>
              <w:tr2bl w:val="nil"/>
            </w:tcBorders>
            <w:shd w:val="clear" w:color="auto" w:fill="auto"/>
            <w:noWrap/>
            <w:vAlign w:val="center"/>
          </w:tcPr>
          <w:p w14:paraId="23628AD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1359 </w:t>
            </w:r>
          </w:p>
        </w:tc>
        <w:tc>
          <w:tcPr>
            <w:tcW w:w="537" w:type="pct"/>
            <w:vMerge w:val="continue"/>
            <w:tcBorders>
              <w:tl2br w:val="nil"/>
              <w:tr2bl w:val="nil"/>
            </w:tcBorders>
            <w:shd w:val="clear" w:color="auto" w:fill="auto"/>
            <w:noWrap/>
            <w:vAlign w:val="center"/>
          </w:tcPr>
          <w:p w14:paraId="420BE4C2">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74E56D35">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4EB4D753">
            <w:pPr>
              <w:jc w:val="center"/>
              <w:rPr>
                <w:rFonts w:hint="default" w:ascii="Times New Roman" w:hAnsi="Times New Roman" w:eastAsia="宋体" w:cs="Times New Roman"/>
                <w:i w:val="0"/>
                <w:iCs w:val="0"/>
                <w:color w:val="auto"/>
                <w:sz w:val="22"/>
                <w:szCs w:val="22"/>
                <w:u w:val="none"/>
              </w:rPr>
            </w:pPr>
          </w:p>
        </w:tc>
      </w:tr>
      <w:tr w14:paraId="383D477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4B199AC3">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609EDEF1">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152838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703" w:type="pct"/>
            <w:tcBorders>
              <w:tl2br w:val="nil"/>
              <w:tr2bl w:val="nil"/>
            </w:tcBorders>
            <w:shd w:val="clear" w:color="auto" w:fill="auto"/>
            <w:noWrap/>
            <w:vAlign w:val="center"/>
          </w:tcPr>
          <w:p w14:paraId="15451BA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7655.27 </w:t>
            </w:r>
          </w:p>
        </w:tc>
        <w:tc>
          <w:tcPr>
            <w:tcW w:w="731" w:type="pct"/>
            <w:tcBorders>
              <w:tl2br w:val="nil"/>
              <w:tr2bl w:val="nil"/>
            </w:tcBorders>
            <w:shd w:val="clear" w:color="auto" w:fill="auto"/>
            <w:noWrap/>
            <w:vAlign w:val="center"/>
          </w:tcPr>
          <w:p w14:paraId="4F067DE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2709 </w:t>
            </w:r>
          </w:p>
        </w:tc>
        <w:tc>
          <w:tcPr>
            <w:tcW w:w="537" w:type="pct"/>
            <w:vMerge w:val="continue"/>
            <w:tcBorders>
              <w:tl2br w:val="nil"/>
              <w:tr2bl w:val="nil"/>
            </w:tcBorders>
            <w:shd w:val="clear" w:color="auto" w:fill="auto"/>
            <w:noWrap/>
            <w:vAlign w:val="center"/>
          </w:tcPr>
          <w:p w14:paraId="1A428A49">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24C6BD30">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05A0CCF4">
            <w:pPr>
              <w:jc w:val="center"/>
              <w:rPr>
                <w:rFonts w:hint="default" w:ascii="Times New Roman" w:hAnsi="Times New Roman" w:eastAsia="宋体" w:cs="Times New Roman"/>
                <w:i w:val="0"/>
                <w:iCs w:val="0"/>
                <w:color w:val="auto"/>
                <w:sz w:val="22"/>
                <w:szCs w:val="22"/>
                <w:u w:val="none"/>
              </w:rPr>
            </w:pPr>
          </w:p>
        </w:tc>
      </w:tr>
      <w:tr w14:paraId="3E7F885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38BFC3D5">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74044D9F">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29D3B22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703" w:type="pct"/>
            <w:tcBorders>
              <w:tl2br w:val="nil"/>
              <w:tr2bl w:val="nil"/>
            </w:tcBorders>
            <w:shd w:val="clear" w:color="auto" w:fill="auto"/>
            <w:noWrap/>
            <w:vAlign w:val="center"/>
          </w:tcPr>
          <w:p w14:paraId="4566BB7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94.82 </w:t>
            </w:r>
          </w:p>
        </w:tc>
        <w:tc>
          <w:tcPr>
            <w:tcW w:w="731" w:type="pct"/>
            <w:tcBorders>
              <w:tl2br w:val="nil"/>
              <w:tr2bl w:val="nil"/>
            </w:tcBorders>
            <w:shd w:val="clear" w:color="auto" w:fill="auto"/>
            <w:noWrap/>
            <w:vAlign w:val="center"/>
          </w:tcPr>
          <w:p w14:paraId="66D8204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ascii="Times New Roman" w:hAnsi="Times New Roman" w:eastAsia="宋体" w:cs="Times New Roman"/>
                <w:i w:val="0"/>
                <w:iCs w:val="0"/>
                <w:color w:val="auto"/>
                <w:kern w:val="0"/>
                <w:sz w:val="22"/>
                <w:szCs w:val="22"/>
                <w:u w:val="none"/>
                <w:lang w:val="en-US" w:eastAsia="zh-CN" w:bidi="ar"/>
              </w:rPr>
              <w:t>94</w:t>
            </w:r>
          </w:p>
        </w:tc>
        <w:tc>
          <w:tcPr>
            <w:tcW w:w="537" w:type="pct"/>
            <w:vMerge w:val="continue"/>
            <w:tcBorders>
              <w:tl2br w:val="nil"/>
              <w:tr2bl w:val="nil"/>
            </w:tcBorders>
            <w:shd w:val="clear" w:color="auto" w:fill="auto"/>
            <w:noWrap/>
            <w:vAlign w:val="center"/>
          </w:tcPr>
          <w:p w14:paraId="13214D54">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5AC3CD08">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459FFFF5">
            <w:pPr>
              <w:jc w:val="center"/>
              <w:rPr>
                <w:rFonts w:hint="default" w:ascii="Times New Roman" w:hAnsi="Times New Roman" w:eastAsia="宋体" w:cs="Times New Roman"/>
                <w:i w:val="0"/>
                <w:iCs w:val="0"/>
                <w:color w:val="auto"/>
                <w:sz w:val="22"/>
                <w:szCs w:val="22"/>
                <w:u w:val="none"/>
              </w:rPr>
            </w:pPr>
          </w:p>
        </w:tc>
      </w:tr>
      <w:tr w14:paraId="351D15F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21D9E3FD">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7947AE6E">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1AAD53F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703" w:type="pct"/>
            <w:tcBorders>
              <w:tl2br w:val="nil"/>
              <w:tr2bl w:val="nil"/>
            </w:tcBorders>
            <w:shd w:val="clear" w:color="auto" w:fill="auto"/>
            <w:noWrap/>
            <w:vAlign w:val="center"/>
          </w:tcPr>
          <w:p w14:paraId="018F5F5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616.82 </w:t>
            </w:r>
          </w:p>
        </w:tc>
        <w:tc>
          <w:tcPr>
            <w:tcW w:w="731" w:type="pct"/>
            <w:tcBorders>
              <w:tl2br w:val="nil"/>
              <w:tr2bl w:val="nil"/>
            </w:tcBorders>
            <w:shd w:val="clear" w:color="auto" w:fill="auto"/>
            <w:noWrap/>
            <w:vAlign w:val="center"/>
          </w:tcPr>
          <w:p w14:paraId="1060CD7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175 </w:t>
            </w:r>
          </w:p>
        </w:tc>
        <w:tc>
          <w:tcPr>
            <w:tcW w:w="537" w:type="pct"/>
            <w:vMerge w:val="continue"/>
            <w:tcBorders>
              <w:tl2br w:val="nil"/>
              <w:tr2bl w:val="nil"/>
            </w:tcBorders>
            <w:shd w:val="clear" w:color="auto" w:fill="auto"/>
            <w:noWrap/>
            <w:vAlign w:val="center"/>
          </w:tcPr>
          <w:p w14:paraId="7548DB3E">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77C92AC9">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1C79561A">
            <w:pPr>
              <w:jc w:val="center"/>
              <w:rPr>
                <w:rFonts w:hint="default" w:ascii="Times New Roman" w:hAnsi="Times New Roman" w:eastAsia="宋体" w:cs="Times New Roman"/>
                <w:i w:val="0"/>
                <w:iCs w:val="0"/>
                <w:color w:val="auto"/>
                <w:sz w:val="22"/>
                <w:szCs w:val="22"/>
                <w:u w:val="none"/>
              </w:rPr>
            </w:pPr>
          </w:p>
        </w:tc>
      </w:tr>
      <w:tr w14:paraId="53EE55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7C5EF3F3">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048EE290">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2F24E24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14:paraId="0D81249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20425.55 </w:t>
            </w:r>
          </w:p>
        </w:tc>
        <w:tc>
          <w:tcPr>
            <w:tcW w:w="731" w:type="pct"/>
            <w:tcBorders>
              <w:tl2br w:val="nil"/>
              <w:tr2bl w:val="nil"/>
            </w:tcBorders>
            <w:shd w:val="clear" w:color="auto" w:fill="auto"/>
            <w:noWrap/>
            <w:vAlign w:val="center"/>
          </w:tcPr>
          <w:p w14:paraId="55BC881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713</w:t>
            </w:r>
            <w:r>
              <w:rPr>
                <w:rFonts w:hint="eastAsia" w:ascii="Times New Roman" w:hAnsi="Times New Roman" w:eastAsia="宋体" w:cs="Times New Roman"/>
                <w:i w:val="0"/>
                <w:iCs w:val="0"/>
                <w:color w:val="auto"/>
                <w:kern w:val="0"/>
                <w:sz w:val="22"/>
                <w:szCs w:val="22"/>
                <w:u w:val="none"/>
                <w:lang w:val="en-US" w:eastAsia="zh-CN" w:bidi="ar"/>
              </w:rPr>
              <w:t>0</w:t>
            </w:r>
          </w:p>
        </w:tc>
        <w:tc>
          <w:tcPr>
            <w:tcW w:w="537" w:type="pct"/>
            <w:vMerge w:val="continue"/>
            <w:tcBorders>
              <w:tl2br w:val="nil"/>
              <w:tr2bl w:val="nil"/>
            </w:tcBorders>
            <w:shd w:val="clear" w:color="auto" w:fill="auto"/>
            <w:noWrap/>
            <w:vAlign w:val="center"/>
          </w:tcPr>
          <w:p w14:paraId="65608B4B">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64B02919">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0EB7831C">
            <w:pPr>
              <w:jc w:val="center"/>
              <w:rPr>
                <w:rFonts w:hint="default" w:ascii="Times New Roman" w:hAnsi="Times New Roman" w:eastAsia="宋体" w:cs="Times New Roman"/>
                <w:i w:val="0"/>
                <w:iCs w:val="0"/>
                <w:color w:val="auto"/>
                <w:sz w:val="22"/>
                <w:szCs w:val="22"/>
                <w:u w:val="none"/>
              </w:rPr>
            </w:pPr>
          </w:p>
        </w:tc>
      </w:tr>
      <w:tr w14:paraId="2848F3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39C3D213">
            <w:pPr>
              <w:jc w:val="center"/>
              <w:rPr>
                <w:rFonts w:hint="default" w:ascii="Times New Roman" w:hAnsi="Times New Roman" w:eastAsia="宋体" w:cs="Times New Roman"/>
                <w:i w:val="0"/>
                <w:iCs w:val="0"/>
                <w:color w:val="auto"/>
                <w:sz w:val="22"/>
                <w:szCs w:val="22"/>
                <w:u w:val="none"/>
              </w:rPr>
            </w:pPr>
          </w:p>
        </w:tc>
        <w:tc>
          <w:tcPr>
            <w:tcW w:w="754" w:type="pct"/>
            <w:vMerge w:val="restart"/>
            <w:tcBorders>
              <w:tl2br w:val="nil"/>
              <w:tr2bl w:val="nil"/>
            </w:tcBorders>
            <w:shd w:val="clear" w:color="auto" w:fill="auto"/>
            <w:noWrap/>
            <w:vAlign w:val="center"/>
          </w:tcPr>
          <w:p w14:paraId="1D6024C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沅江水系</w:t>
            </w:r>
          </w:p>
        </w:tc>
        <w:tc>
          <w:tcPr>
            <w:tcW w:w="630" w:type="pct"/>
            <w:tcBorders>
              <w:tl2br w:val="nil"/>
              <w:tr2bl w:val="nil"/>
            </w:tcBorders>
            <w:shd w:val="clear" w:color="auto" w:fill="auto"/>
            <w:noWrap/>
            <w:vAlign w:val="center"/>
          </w:tcPr>
          <w:p w14:paraId="3E45032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铜仁市</w:t>
            </w:r>
          </w:p>
        </w:tc>
        <w:tc>
          <w:tcPr>
            <w:tcW w:w="703" w:type="pct"/>
            <w:tcBorders>
              <w:tl2br w:val="nil"/>
              <w:tr2bl w:val="nil"/>
            </w:tcBorders>
            <w:shd w:val="clear" w:color="auto" w:fill="auto"/>
            <w:noWrap/>
            <w:vAlign w:val="center"/>
          </w:tcPr>
          <w:p w14:paraId="1F01D37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1674.30 </w:t>
            </w:r>
          </w:p>
        </w:tc>
        <w:tc>
          <w:tcPr>
            <w:tcW w:w="731" w:type="pct"/>
            <w:tcBorders>
              <w:tl2br w:val="nil"/>
              <w:tr2bl w:val="nil"/>
            </w:tcBorders>
            <w:shd w:val="clear" w:color="auto" w:fill="auto"/>
            <w:noWrap/>
            <w:vAlign w:val="center"/>
          </w:tcPr>
          <w:p w14:paraId="5C16471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541 </w:t>
            </w:r>
          </w:p>
        </w:tc>
        <w:tc>
          <w:tcPr>
            <w:tcW w:w="537" w:type="pct"/>
            <w:vMerge w:val="restart"/>
            <w:tcBorders>
              <w:tl2br w:val="nil"/>
              <w:tr2bl w:val="nil"/>
            </w:tcBorders>
            <w:shd w:val="clear" w:color="auto" w:fill="auto"/>
            <w:noWrap/>
            <w:vAlign w:val="center"/>
          </w:tcPr>
          <w:p w14:paraId="78F034F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81.67 </w:t>
            </w:r>
          </w:p>
        </w:tc>
        <w:tc>
          <w:tcPr>
            <w:tcW w:w="558" w:type="pct"/>
            <w:vMerge w:val="restart"/>
            <w:tcBorders>
              <w:tl2br w:val="nil"/>
              <w:tr2bl w:val="nil"/>
            </w:tcBorders>
            <w:shd w:val="clear" w:color="auto" w:fill="auto"/>
            <w:noWrap/>
            <w:vAlign w:val="center"/>
          </w:tcPr>
          <w:p w14:paraId="7264E30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83.21 </w:t>
            </w:r>
          </w:p>
        </w:tc>
        <w:tc>
          <w:tcPr>
            <w:tcW w:w="525" w:type="pct"/>
            <w:vMerge w:val="restart"/>
            <w:tcBorders>
              <w:tl2br w:val="nil"/>
              <w:tr2bl w:val="nil"/>
            </w:tcBorders>
            <w:shd w:val="clear" w:color="auto" w:fill="auto"/>
            <w:noWrap/>
            <w:vAlign w:val="center"/>
          </w:tcPr>
          <w:p w14:paraId="1B737B8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1.54 </w:t>
            </w:r>
          </w:p>
        </w:tc>
      </w:tr>
      <w:tr w14:paraId="555ADE4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08061E69">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2CAD90F9">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4B01941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703" w:type="pct"/>
            <w:tcBorders>
              <w:tl2br w:val="nil"/>
              <w:tr2bl w:val="nil"/>
            </w:tcBorders>
            <w:shd w:val="clear" w:color="auto" w:fill="auto"/>
            <w:noWrap/>
            <w:vAlign w:val="center"/>
          </w:tcPr>
          <w:p w14:paraId="3E2B420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3243.11 </w:t>
            </w:r>
          </w:p>
        </w:tc>
        <w:tc>
          <w:tcPr>
            <w:tcW w:w="731" w:type="pct"/>
            <w:tcBorders>
              <w:tl2br w:val="nil"/>
              <w:tr2bl w:val="nil"/>
            </w:tcBorders>
            <w:shd w:val="clear" w:color="auto" w:fill="auto"/>
            <w:noWrap/>
            <w:vAlign w:val="center"/>
          </w:tcPr>
          <w:p w14:paraId="6054427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730 </w:t>
            </w:r>
          </w:p>
        </w:tc>
        <w:tc>
          <w:tcPr>
            <w:tcW w:w="537" w:type="pct"/>
            <w:vMerge w:val="continue"/>
            <w:tcBorders>
              <w:tl2br w:val="nil"/>
              <w:tr2bl w:val="nil"/>
            </w:tcBorders>
            <w:shd w:val="clear" w:color="auto" w:fill="auto"/>
            <w:noWrap/>
            <w:vAlign w:val="center"/>
          </w:tcPr>
          <w:p w14:paraId="7D6249C6">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3429B0F9">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0993D825">
            <w:pPr>
              <w:jc w:val="center"/>
              <w:rPr>
                <w:rFonts w:hint="default" w:ascii="Times New Roman" w:hAnsi="Times New Roman" w:eastAsia="宋体" w:cs="Times New Roman"/>
                <w:i w:val="0"/>
                <w:iCs w:val="0"/>
                <w:color w:val="auto"/>
                <w:sz w:val="22"/>
                <w:szCs w:val="22"/>
                <w:u w:val="none"/>
              </w:rPr>
            </w:pPr>
          </w:p>
        </w:tc>
      </w:tr>
      <w:tr w14:paraId="11F59E7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3824B2B3">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40337435">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77CE93F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703" w:type="pct"/>
            <w:tcBorders>
              <w:tl2br w:val="nil"/>
              <w:tr2bl w:val="nil"/>
            </w:tcBorders>
            <w:shd w:val="clear" w:color="auto" w:fill="auto"/>
            <w:noWrap/>
            <w:vAlign w:val="center"/>
          </w:tcPr>
          <w:p w14:paraId="34DA6A9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626.49 </w:t>
            </w:r>
          </w:p>
        </w:tc>
        <w:tc>
          <w:tcPr>
            <w:tcW w:w="731" w:type="pct"/>
            <w:tcBorders>
              <w:tl2br w:val="nil"/>
              <w:tr2bl w:val="nil"/>
            </w:tcBorders>
            <w:shd w:val="clear" w:color="auto" w:fill="auto"/>
            <w:noWrap/>
            <w:vAlign w:val="center"/>
          </w:tcPr>
          <w:p w14:paraId="6CB938D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124 </w:t>
            </w:r>
          </w:p>
        </w:tc>
        <w:tc>
          <w:tcPr>
            <w:tcW w:w="537" w:type="pct"/>
            <w:vMerge w:val="continue"/>
            <w:tcBorders>
              <w:tl2br w:val="nil"/>
              <w:tr2bl w:val="nil"/>
            </w:tcBorders>
            <w:shd w:val="clear" w:color="auto" w:fill="auto"/>
            <w:noWrap/>
            <w:vAlign w:val="center"/>
          </w:tcPr>
          <w:p w14:paraId="5E5FFEEB">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5908D983">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4B6353DE">
            <w:pPr>
              <w:jc w:val="center"/>
              <w:rPr>
                <w:rFonts w:hint="default" w:ascii="Times New Roman" w:hAnsi="Times New Roman" w:eastAsia="宋体" w:cs="Times New Roman"/>
                <w:i w:val="0"/>
                <w:iCs w:val="0"/>
                <w:color w:val="auto"/>
                <w:sz w:val="22"/>
                <w:szCs w:val="22"/>
                <w:u w:val="none"/>
              </w:rPr>
            </w:pPr>
          </w:p>
        </w:tc>
      </w:tr>
      <w:tr w14:paraId="02348E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38DC4602">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25ABBBA4">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62B7414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14:paraId="024DF1A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5543.91 </w:t>
            </w:r>
          </w:p>
        </w:tc>
        <w:tc>
          <w:tcPr>
            <w:tcW w:w="731" w:type="pct"/>
            <w:tcBorders>
              <w:tl2br w:val="nil"/>
              <w:tr2bl w:val="nil"/>
            </w:tcBorders>
            <w:shd w:val="clear" w:color="auto" w:fill="auto"/>
            <w:noWrap/>
            <w:vAlign w:val="center"/>
          </w:tcPr>
          <w:p w14:paraId="1D523EC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color w:val="auto"/>
                <w:kern w:val="0"/>
                <w:sz w:val="22"/>
                <w:szCs w:val="22"/>
                <w:u w:val="none"/>
                <w:lang w:val="en-US" w:eastAsia="zh-CN" w:bidi="ar"/>
              </w:rPr>
              <w:t>139</w:t>
            </w:r>
            <w:r>
              <w:rPr>
                <w:rFonts w:hint="eastAsia" w:ascii="Times New Roman" w:hAnsi="Times New Roman" w:eastAsia="宋体" w:cs="Times New Roman"/>
                <w:i w:val="0"/>
                <w:iCs w:val="0"/>
                <w:color w:val="auto"/>
                <w:kern w:val="0"/>
                <w:sz w:val="22"/>
                <w:szCs w:val="22"/>
                <w:u w:val="none"/>
                <w:lang w:val="en-US" w:eastAsia="zh-CN" w:bidi="ar"/>
              </w:rPr>
              <w:t>5</w:t>
            </w:r>
          </w:p>
        </w:tc>
        <w:tc>
          <w:tcPr>
            <w:tcW w:w="537" w:type="pct"/>
            <w:vMerge w:val="continue"/>
            <w:tcBorders>
              <w:tl2br w:val="nil"/>
              <w:tr2bl w:val="nil"/>
            </w:tcBorders>
            <w:shd w:val="clear" w:color="auto" w:fill="auto"/>
            <w:noWrap/>
            <w:vAlign w:val="center"/>
          </w:tcPr>
          <w:p w14:paraId="4C2259CA">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5EC30680">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72A39600">
            <w:pPr>
              <w:jc w:val="center"/>
              <w:rPr>
                <w:rFonts w:hint="default" w:ascii="Times New Roman" w:hAnsi="Times New Roman" w:eastAsia="宋体" w:cs="Times New Roman"/>
                <w:i w:val="0"/>
                <w:iCs w:val="0"/>
                <w:color w:val="auto"/>
                <w:sz w:val="22"/>
                <w:szCs w:val="22"/>
                <w:u w:val="none"/>
              </w:rPr>
            </w:pPr>
          </w:p>
        </w:tc>
      </w:tr>
      <w:tr w14:paraId="4A2E83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153DCD7B">
            <w:pPr>
              <w:jc w:val="center"/>
              <w:rPr>
                <w:rFonts w:hint="default" w:ascii="Times New Roman" w:hAnsi="Times New Roman" w:eastAsia="宋体" w:cs="Times New Roman"/>
                <w:i w:val="0"/>
                <w:iCs w:val="0"/>
                <w:color w:val="auto"/>
                <w:sz w:val="22"/>
                <w:szCs w:val="22"/>
                <w:u w:val="none"/>
              </w:rPr>
            </w:pPr>
          </w:p>
        </w:tc>
        <w:tc>
          <w:tcPr>
            <w:tcW w:w="754" w:type="pct"/>
            <w:vMerge w:val="restart"/>
            <w:tcBorders>
              <w:tl2br w:val="nil"/>
              <w:tr2bl w:val="nil"/>
            </w:tcBorders>
            <w:shd w:val="clear" w:color="auto" w:fill="auto"/>
            <w:noWrap/>
            <w:vAlign w:val="center"/>
          </w:tcPr>
          <w:p w14:paraId="48D99B8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赤水河水系</w:t>
            </w:r>
          </w:p>
        </w:tc>
        <w:tc>
          <w:tcPr>
            <w:tcW w:w="630" w:type="pct"/>
            <w:tcBorders>
              <w:tl2br w:val="nil"/>
              <w:tr2bl w:val="nil"/>
            </w:tcBorders>
            <w:shd w:val="clear" w:color="auto" w:fill="auto"/>
            <w:noWrap/>
            <w:vAlign w:val="center"/>
          </w:tcPr>
          <w:p w14:paraId="28678ED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703" w:type="pct"/>
            <w:tcBorders>
              <w:tl2br w:val="nil"/>
              <w:tr2bl w:val="nil"/>
            </w:tcBorders>
            <w:shd w:val="clear" w:color="auto" w:fill="auto"/>
            <w:noWrap/>
            <w:vAlign w:val="center"/>
          </w:tcPr>
          <w:p w14:paraId="73030C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3025.06 </w:t>
            </w:r>
          </w:p>
        </w:tc>
        <w:tc>
          <w:tcPr>
            <w:tcW w:w="731" w:type="pct"/>
            <w:tcBorders>
              <w:tl2br w:val="nil"/>
              <w:tr2bl w:val="nil"/>
            </w:tcBorders>
            <w:shd w:val="clear" w:color="auto" w:fill="auto"/>
            <w:noWrap/>
            <w:vAlign w:val="center"/>
          </w:tcPr>
          <w:p w14:paraId="65D7492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1152 </w:t>
            </w:r>
          </w:p>
        </w:tc>
        <w:tc>
          <w:tcPr>
            <w:tcW w:w="537" w:type="pct"/>
            <w:vMerge w:val="restart"/>
            <w:tcBorders>
              <w:tl2br w:val="nil"/>
              <w:tr2bl w:val="nil"/>
            </w:tcBorders>
            <w:shd w:val="clear" w:color="auto" w:fill="auto"/>
            <w:noWrap/>
            <w:vAlign w:val="center"/>
          </w:tcPr>
          <w:p w14:paraId="7CE15A1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75.55 </w:t>
            </w:r>
          </w:p>
        </w:tc>
        <w:tc>
          <w:tcPr>
            <w:tcW w:w="558" w:type="pct"/>
            <w:vMerge w:val="restart"/>
            <w:tcBorders>
              <w:tl2br w:val="nil"/>
              <w:tr2bl w:val="nil"/>
            </w:tcBorders>
            <w:shd w:val="clear" w:color="auto" w:fill="auto"/>
            <w:noWrap/>
            <w:vAlign w:val="center"/>
          </w:tcPr>
          <w:p w14:paraId="6077BD3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77.29 </w:t>
            </w:r>
          </w:p>
        </w:tc>
        <w:tc>
          <w:tcPr>
            <w:tcW w:w="525" w:type="pct"/>
            <w:vMerge w:val="restart"/>
            <w:tcBorders>
              <w:tl2br w:val="nil"/>
              <w:tr2bl w:val="nil"/>
            </w:tcBorders>
            <w:shd w:val="clear" w:color="auto" w:fill="auto"/>
            <w:noWrap/>
            <w:vAlign w:val="center"/>
          </w:tcPr>
          <w:p w14:paraId="7BA3C22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1.74 </w:t>
            </w:r>
          </w:p>
        </w:tc>
      </w:tr>
      <w:tr w14:paraId="194DA3A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4B1482F8">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6E2139D9">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5DA7D3A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703" w:type="pct"/>
            <w:tcBorders>
              <w:tl2br w:val="nil"/>
              <w:tr2bl w:val="nil"/>
            </w:tcBorders>
            <w:shd w:val="clear" w:color="auto" w:fill="auto"/>
            <w:noWrap/>
            <w:vAlign w:val="center"/>
          </w:tcPr>
          <w:p w14:paraId="260370A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350.13 </w:t>
            </w:r>
          </w:p>
        </w:tc>
        <w:tc>
          <w:tcPr>
            <w:tcW w:w="731" w:type="pct"/>
            <w:tcBorders>
              <w:tl2br w:val="nil"/>
              <w:tr2bl w:val="nil"/>
            </w:tcBorders>
            <w:shd w:val="clear" w:color="auto" w:fill="auto"/>
            <w:noWrap/>
            <w:vAlign w:val="center"/>
          </w:tcPr>
          <w:p w14:paraId="0EA5FC3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121 </w:t>
            </w:r>
          </w:p>
        </w:tc>
        <w:tc>
          <w:tcPr>
            <w:tcW w:w="537" w:type="pct"/>
            <w:vMerge w:val="continue"/>
            <w:tcBorders>
              <w:tl2br w:val="nil"/>
              <w:tr2bl w:val="nil"/>
            </w:tcBorders>
            <w:shd w:val="clear" w:color="auto" w:fill="auto"/>
            <w:noWrap/>
            <w:vAlign w:val="center"/>
          </w:tcPr>
          <w:p w14:paraId="441D5115">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6871B958">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56F13B69">
            <w:pPr>
              <w:jc w:val="center"/>
              <w:rPr>
                <w:rFonts w:hint="default" w:ascii="Times New Roman" w:hAnsi="Times New Roman" w:eastAsia="宋体" w:cs="Times New Roman"/>
                <w:i w:val="0"/>
                <w:iCs w:val="0"/>
                <w:color w:val="auto"/>
                <w:sz w:val="22"/>
                <w:szCs w:val="22"/>
                <w:u w:val="none"/>
              </w:rPr>
            </w:pPr>
          </w:p>
        </w:tc>
      </w:tr>
      <w:tr w14:paraId="6D84175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6DFFC650">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67642B68">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6074733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14:paraId="2540E2B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3375.19 </w:t>
            </w:r>
          </w:p>
        </w:tc>
        <w:tc>
          <w:tcPr>
            <w:tcW w:w="731" w:type="pct"/>
            <w:tcBorders>
              <w:tl2br w:val="nil"/>
              <w:tr2bl w:val="nil"/>
            </w:tcBorders>
            <w:shd w:val="clear" w:color="auto" w:fill="auto"/>
            <w:noWrap/>
            <w:vAlign w:val="center"/>
          </w:tcPr>
          <w:p w14:paraId="760F8D7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1273 </w:t>
            </w:r>
          </w:p>
        </w:tc>
        <w:tc>
          <w:tcPr>
            <w:tcW w:w="537" w:type="pct"/>
            <w:vMerge w:val="continue"/>
            <w:tcBorders>
              <w:tl2br w:val="nil"/>
              <w:tr2bl w:val="nil"/>
            </w:tcBorders>
            <w:shd w:val="clear" w:color="auto" w:fill="auto"/>
            <w:noWrap/>
            <w:vAlign w:val="center"/>
          </w:tcPr>
          <w:p w14:paraId="554F48E4">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268254CC">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0699E19A">
            <w:pPr>
              <w:jc w:val="center"/>
              <w:rPr>
                <w:rFonts w:hint="default" w:ascii="Times New Roman" w:hAnsi="Times New Roman" w:eastAsia="宋体" w:cs="Times New Roman"/>
                <w:i w:val="0"/>
                <w:iCs w:val="0"/>
                <w:color w:val="auto"/>
                <w:sz w:val="22"/>
                <w:szCs w:val="22"/>
                <w:u w:val="none"/>
              </w:rPr>
            </w:pPr>
          </w:p>
        </w:tc>
      </w:tr>
      <w:tr w14:paraId="7BDF087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69775311">
            <w:pPr>
              <w:jc w:val="center"/>
              <w:rPr>
                <w:rFonts w:hint="default" w:ascii="Times New Roman" w:hAnsi="Times New Roman" w:eastAsia="宋体" w:cs="Times New Roman"/>
                <w:i w:val="0"/>
                <w:iCs w:val="0"/>
                <w:color w:val="auto"/>
                <w:sz w:val="22"/>
                <w:szCs w:val="22"/>
                <w:u w:val="none"/>
              </w:rPr>
            </w:pPr>
          </w:p>
        </w:tc>
        <w:tc>
          <w:tcPr>
            <w:tcW w:w="754" w:type="pct"/>
            <w:vMerge w:val="restart"/>
            <w:tcBorders>
              <w:tl2br w:val="nil"/>
              <w:tr2bl w:val="nil"/>
            </w:tcBorders>
            <w:shd w:val="clear" w:color="auto" w:fill="auto"/>
            <w:noWrap/>
            <w:vAlign w:val="center"/>
          </w:tcPr>
          <w:p w14:paraId="2500451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牛栏江水系</w:t>
            </w:r>
          </w:p>
        </w:tc>
        <w:tc>
          <w:tcPr>
            <w:tcW w:w="630" w:type="pct"/>
            <w:tcBorders>
              <w:tl2br w:val="nil"/>
              <w:tr2bl w:val="nil"/>
            </w:tcBorders>
            <w:shd w:val="clear" w:color="auto" w:fill="auto"/>
            <w:noWrap/>
            <w:vAlign w:val="center"/>
          </w:tcPr>
          <w:p w14:paraId="2E3E83D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703" w:type="pct"/>
            <w:tcBorders>
              <w:tl2br w:val="nil"/>
              <w:tr2bl w:val="nil"/>
            </w:tcBorders>
            <w:shd w:val="clear" w:color="auto" w:fill="auto"/>
            <w:noWrap/>
            <w:vAlign w:val="center"/>
          </w:tcPr>
          <w:p w14:paraId="4ECFDBE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1953.67 </w:t>
            </w:r>
          </w:p>
        </w:tc>
        <w:tc>
          <w:tcPr>
            <w:tcW w:w="731" w:type="pct"/>
            <w:tcBorders>
              <w:tl2br w:val="nil"/>
              <w:tr2bl w:val="nil"/>
            </w:tcBorders>
            <w:shd w:val="clear" w:color="auto" w:fill="auto"/>
            <w:noWrap/>
            <w:vAlign w:val="center"/>
          </w:tcPr>
          <w:p w14:paraId="11974A3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619 </w:t>
            </w:r>
          </w:p>
        </w:tc>
        <w:tc>
          <w:tcPr>
            <w:tcW w:w="537" w:type="pct"/>
            <w:vMerge w:val="restart"/>
            <w:tcBorders>
              <w:tl2br w:val="nil"/>
              <w:tr2bl w:val="nil"/>
            </w:tcBorders>
            <w:shd w:val="clear" w:color="auto" w:fill="auto"/>
            <w:noWrap/>
            <w:vAlign w:val="center"/>
          </w:tcPr>
          <w:p w14:paraId="4485294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60.03 </w:t>
            </w:r>
          </w:p>
        </w:tc>
        <w:tc>
          <w:tcPr>
            <w:tcW w:w="558" w:type="pct"/>
            <w:vMerge w:val="restart"/>
            <w:tcBorders>
              <w:tl2br w:val="nil"/>
              <w:tr2bl w:val="nil"/>
            </w:tcBorders>
            <w:shd w:val="clear" w:color="auto" w:fill="auto"/>
            <w:noWrap/>
            <w:vAlign w:val="center"/>
          </w:tcPr>
          <w:p w14:paraId="0A8559B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61.33 </w:t>
            </w:r>
          </w:p>
        </w:tc>
        <w:tc>
          <w:tcPr>
            <w:tcW w:w="525" w:type="pct"/>
            <w:vMerge w:val="restart"/>
            <w:tcBorders>
              <w:tl2br w:val="nil"/>
              <w:tr2bl w:val="nil"/>
            </w:tcBorders>
            <w:shd w:val="clear" w:color="auto" w:fill="auto"/>
            <w:noWrap/>
            <w:vAlign w:val="center"/>
          </w:tcPr>
          <w:p w14:paraId="12B1676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1.30 </w:t>
            </w:r>
          </w:p>
        </w:tc>
      </w:tr>
      <w:tr w14:paraId="7545D1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350E7CC6">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3E86F27A">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44F37B5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14:paraId="739FA2A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1953.67 </w:t>
            </w:r>
          </w:p>
        </w:tc>
        <w:tc>
          <w:tcPr>
            <w:tcW w:w="731" w:type="pct"/>
            <w:tcBorders>
              <w:tl2br w:val="nil"/>
              <w:tr2bl w:val="nil"/>
            </w:tcBorders>
            <w:shd w:val="clear" w:color="auto" w:fill="auto"/>
            <w:noWrap/>
            <w:vAlign w:val="center"/>
          </w:tcPr>
          <w:p w14:paraId="0F415AF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619 </w:t>
            </w:r>
          </w:p>
        </w:tc>
        <w:tc>
          <w:tcPr>
            <w:tcW w:w="537" w:type="pct"/>
            <w:vMerge w:val="continue"/>
            <w:tcBorders>
              <w:tl2br w:val="nil"/>
              <w:tr2bl w:val="nil"/>
            </w:tcBorders>
            <w:shd w:val="clear" w:color="auto" w:fill="auto"/>
            <w:noWrap/>
            <w:vAlign w:val="center"/>
          </w:tcPr>
          <w:p w14:paraId="190B4F2F">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7F0D24E4">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7CD6A0AF">
            <w:pPr>
              <w:jc w:val="center"/>
              <w:rPr>
                <w:rFonts w:hint="default" w:ascii="Times New Roman" w:hAnsi="Times New Roman" w:eastAsia="宋体" w:cs="Times New Roman"/>
                <w:i w:val="0"/>
                <w:iCs w:val="0"/>
                <w:color w:val="auto"/>
                <w:sz w:val="22"/>
                <w:szCs w:val="22"/>
                <w:u w:val="none"/>
              </w:rPr>
            </w:pPr>
          </w:p>
        </w:tc>
      </w:tr>
      <w:tr w14:paraId="7E0401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5" w:hRule="atLeast"/>
        </w:trPr>
        <w:tc>
          <w:tcPr>
            <w:tcW w:w="558" w:type="pct"/>
            <w:vMerge w:val="continue"/>
            <w:tcBorders>
              <w:tl2br w:val="nil"/>
              <w:tr2bl w:val="nil"/>
            </w:tcBorders>
            <w:shd w:val="clear" w:color="auto" w:fill="auto"/>
            <w:noWrap/>
            <w:vAlign w:val="center"/>
          </w:tcPr>
          <w:p w14:paraId="0A58C701">
            <w:pPr>
              <w:jc w:val="center"/>
              <w:rPr>
                <w:rFonts w:hint="default" w:ascii="Times New Roman" w:hAnsi="Times New Roman" w:eastAsia="宋体" w:cs="Times New Roman"/>
                <w:i w:val="0"/>
                <w:iCs w:val="0"/>
                <w:color w:val="auto"/>
                <w:sz w:val="22"/>
                <w:szCs w:val="22"/>
                <w:u w:val="none"/>
              </w:rPr>
            </w:pPr>
          </w:p>
        </w:tc>
        <w:tc>
          <w:tcPr>
            <w:tcW w:w="1385" w:type="pct"/>
            <w:gridSpan w:val="2"/>
            <w:tcBorders>
              <w:tl2br w:val="nil"/>
              <w:tr2bl w:val="nil"/>
            </w:tcBorders>
            <w:shd w:val="clear" w:color="auto" w:fill="auto"/>
            <w:noWrap/>
            <w:vAlign w:val="center"/>
          </w:tcPr>
          <w:p w14:paraId="3201056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703" w:type="pct"/>
            <w:tcBorders>
              <w:tl2br w:val="nil"/>
              <w:tr2bl w:val="nil"/>
            </w:tcBorders>
            <w:shd w:val="clear" w:color="auto" w:fill="auto"/>
            <w:noWrap/>
            <w:vAlign w:val="center"/>
          </w:tcPr>
          <w:p w14:paraId="1BE9BEA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31298.32 </w:t>
            </w:r>
          </w:p>
        </w:tc>
        <w:tc>
          <w:tcPr>
            <w:tcW w:w="731" w:type="pct"/>
            <w:tcBorders>
              <w:tl2br w:val="nil"/>
              <w:tr2bl w:val="nil"/>
            </w:tcBorders>
            <w:shd w:val="clear" w:color="auto" w:fill="auto"/>
            <w:noWrap/>
            <w:vAlign w:val="center"/>
          </w:tcPr>
          <w:p w14:paraId="75763F9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1041</w:t>
            </w:r>
            <w:r>
              <w:rPr>
                <w:rFonts w:hint="eastAsia" w:ascii="Times New Roman" w:hAnsi="Times New Roman" w:eastAsia="宋体" w:cs="Times New Roman"/>
                <w:i w:val="0"/>
                <w:iCs w:val="0"/>
                <w:color w:val="auto"/>
                <w:kern w:val="0"/>
                <w:sz w:val="22"/>
                <w:szCs w:val="22"/>
                <w:u w:val="none"/>
                <w:lang w:val="en-US" w:eastAsia="zh-CN" w:bidi="ar"/>
              </w:rPr>
              <w:t>7</w:t>
            </w:r>
          </w:p>
        </w:tc>
        <w:tc>
          <w:tcPr>
            <w:tcW w:w="537" w:type="pct"/>
            <w:tcBorders>
              <w:tl2br w:val="nil"/>
              <w:tr2bl w:val="nil"/>
            </w:tcBorders>
            <w:shd w:val="clear" w:color="auto" w:fill="auto"/>
            <w:noWrap/>
            <w:vAlign w:val="center"/>
          </w:tcPr>
          <w:p w14:paraId="18CD191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72.96 </w:t>
            </w:r>
          </w:p>
        </w:tc>
        <w:tc>
          <w:tcPr>
            <w:tcW w:w="558" w:type="pct"/>
            <w:tcBorders>
              <w:tl2br w:val="nil"/>
              <w:tr2bl w:val="nil"/>
            </w:tcBorders>
            <w:shd w:val="clear" w:color="auto" w:fill="auto"/>
            <w:noWrap/>
            <w:vAlign w:val="center"/>
          </w:tcPr>
          <w:p w14:paraId="73C0BCB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74.74 </w:t>
            </w:r>
          </w:p>
        </w:tc>
        <w:tc>
          <w:tcPr>
            <w:tcW w:w="525" w:type="pct"/>
            <w:tcBorders>
              <w:tl2br w:val="nil"/>
              <w:tr2bl w:val="nil"/>
            </w:tcBorders>
            <w:shd w:val="clear" w:color="auto" w:fill="auto"/>
            <w:noWrap/>
            <w:vAlign w:val="center"/>
          </w:tcPr>
          <w:p w14:paraId="7C40088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1.78 </w:t>
            </w:r>
          </w:p>
        </w:tc>
      </w:tr>
    </w:tbl>
    <w:p w14:paraId="2204A8A7">
      <w:pPr>
        <w:pStyle w:val="18"/>
        <w:rPr>
          <w:rFonts w:hint="eastAsia" w:ascii="Times New Roman" w:hAnsi="Times New Roman" w:eastAsia="宋体" w:cs="Times New Roman"/>
          <w:color w:val="auto"/>
          <w:kern w:val="0"/>
          <w:szCs w:val="20"/>
          <w:lang w:val="en-US" w:eastAsia="zh-CN"/>
        </w:rPr>
      </w:pPr>
    </w:p>
    <w:p w14:paraId="5E8DE75E">
      <w:pPr>
        <w:pStyle w:val="18"/>
        <w:rPr>
          <w:rFonts w:hint="eastAsia" w:ascii="Times New Roman" w:hAnsi="Times New Roman" w:eastAsia="宋体" w:cs="Times New Roman"/>
          <w:color w:val="auto"/>
          <w:kern w:val="0"/>
          <w:szCs w:val="20"/>
          <w:lang w:val="en-US" w:eastAsia="zh-CN"/>
        </w:rPr>
      </w:pPr>
    </w:p>
    <w:p w14:paraId="29B23C0D">
      <w:pPr>
        <w:spacing w:after="0"/>
        <w:jc w:val="both"/>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bCs/>
          <w:color w:val="auto"/>
          <w:sz w:val="28"/>
          <w:szCs w:val="28"/>
          <w:lang w:val="en-US" w:eastAsia="zh-CN"/>
        </w:rPr>
        <w:t>续</w:t>
      </w: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主要流域水土流失治理任务分解表</w:t>
      </w:r>
    </w:p>
    <w:tbl>
      <w:tblPr>
        <w:tblStyle w:val="19"/>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36"/>
        <w:gridCol w:w="1316"/>
        <w:gridCol w:w="1100"/>
        <w:gridCol w:w="1183"/>
        <w:gridCol w:w="1231"/>
        <w:gridCol w:w="933"/>
        <w:gridCol w:w="937"/>
        <w:gridCol w:w="883"/>
      </w:tblGrid>
      <w:tr w14:paraId="520095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PrEx>
        <w:trPr>
          <w:trHeight w:val="369" w:hRule="atLeast"/>
          <w:tblHeader/>
          <w:jc w:val="center"/>
        </w:trPr>
        <w:tc>
          <w:tcPr>
            <w:tcW w:w="558" w:type="pct"/>
            <w:vMerge w:val="restart"/>
            <w:tcBorders>
              <w:tl2br w:val="nil"/>
              <w:tr2bl w:val="nil"/>
            </w:tcBorders>
            <w:shd w:val="clear" w:color="auto" w:fill="auto"/>
            <w:noWrap/>
            <w:vAlign w:val="center"/>
          </w:tcPr>
          <w:p w14:paraId="0E0E56F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流域</w:t>
            </w:r>
          </w:p>
        </w:tc>
        <w:tc>
          <w:tcPr>
            <w:tcW w:w="754" w:type="pct"/>
            <w:vMerge w:val="restart"/>
            <w:tcBorders>
              <w:tl2br w:val="nil"/>
              <w:tr2bl w:val="nil"/>
            </w:tcBorders>
            <w:shd w:val="clear" w:color="auto" w:fill="auto"/>
            <w:noWrap/>
            <w:vAlign w:val="center"/>
          </w:tcPr>
          <w:p w14:paraId="44B1AC3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水系</w:t>
            </w:r>
          </w:p>
        </w:tc>
        <w:tc>
          <w:tcPr>
            <w:tcW w:w="2065" w:type="pct"/>
            <w:gridSpan w:val="3"/>
            <w:tcBorders>
              <w:tl2br w:val="nil"/>
              <w:tr2bl w:val="nil"/>
            </w:tcBorders>
            <w:shd w:val="clear" w:color="auto" w:fill="auto"/>
            <w:noWrap/>
            <w:vAlign w:val="center"/>
          </w:tcPr>
          <w:p w14:paraId="0288A66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水土流失治理面积（km²）</w:t>
            </w:r>
          </w:p>
        </w:tc>
        <w:tc>
          <w:tcPr>
            <w:tcW w:w="1621" w:type="pct"/>
            <w:gridSpan w:val="3"/>
            <w:tcBorders>
              <w:tl2br w:val="nil"/>
              <w:tr2bl w:val="nil"/>
            </w:tcBorders>
            <w:shd w:val="clear" w:color="auto" w:fill="auto"/>
            <w:noWrap/>
            <w:vAlign w:val="center"/>
          </w:tcPr>
          <w:p w14:paraId="1A8240E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水土保持率（%）</w:t>
            </w:r>
          </w:p>
        </w:tc>
      </w:tr>
      <w:tr w14:paraId="42AA107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blHeader/>
          <w:jc w:val="center"/>
        </w:trPr>
        <w:tc>
          <w:tcPr>
            <w:tcW w:w="558" w:type="pct"/>
            <w:vMerge w:val="continue"/>
            <w:tcBorders>
              <w:tl2br w:val="nil"/>
              <w:tr2bl w:val="nil"/>
            </w:tcBorders>
            <w:shd w:val="clear" w:color="auto" w:fill="auto"/>
            <w:noWrap/>
            <w:vAlign w:val="center"/>
          </w:tcPr>
          <w:p w14:paraId="19673BC7">
            <w:pPr>
              <w:jc w:val="center"/>
              <w:rPr>
                <w:rFonts w:hint="default" w:ascii="Times New Roman" w:hAnsi="Times New Roman" w:eastAsia="宋体" w:cs="Times New Roman"/>
                <w:b/>
                <w:bCs/>
                <w:i w:val="0"/>
                <w:iCs w:val="0"/>
                <w:color w:val="auto"/>
                <w:sz w:val="22"/>
                <w:szCs w:val="22"/>
                <w:u w:val="none"/>
              </w:rPr>
            </w:pPr>
          </w:p>
        </w:tc>
        <w:tc>
          <w:tcPr>
            <w:tcW w:w="754" w:type="pct"/>
            <w:vMerge w:val="continue"/>
            <w:tcBorders>
              <w:tl2br w:val="nil"/>
              <w:tr2bl w:val="nil"/>
            </w:tcBorders>
            <w:shd w:val="clear" w:color="auto" w:fill="auto"/>
            <w:noWrap/>
            <w:vAlign w:val="center"/>
          </w:tcPr>
          <w:p w14:paraId="0128C7B5">
            <w:pPr>
              <w:jc w:val="center"/>
              <w:rPr>
                <w:rFonts w:hint="default" w:ascii="Times New Roman" w:hAnsi="Times New Roman" w:eastAsia="宋体" w:cs="Times New Roman"/>
                <w:b/>
                <w:bCs/>
                <w:i w:val="0"/>
                <w:iCs w:val="0"/>
                <w:color w:val="auto"/>
                <w:sz w:val="22"/>
                <w:szCs w:val="22"/>
                <w:u w:val="none"/>
              </w:rPr>
            </w:pPr>
          </w:p>
        </w:tc>
        <w:tc>
          <w:tcPr>
            <w:tcW w:w="630" w:type="pct"/>
            <w:tcBorders>
              <w:tl2br w:val="nil"/>
              <w:tr2bl w:val="nil"/>
            </w:tcBorders>
            <w:shd w:val="clear" w:color="auto" w:fill="auto"/>
            <w:noWrap/>
            <w:vAlign w:val="center"/>
          </w:tcPr>
          <w:p w14:paraId="39FDA592">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市（州）</w:t>
            </w:r>
          </w:p>
        </w:tc>
        <w:tc>
          <w:tcPr>
            <w:tcW w:w="703" w:type="pct"/>
            <w:tcBorders>
              <w:tl2br w:val="nil"/>
              <w:tr2bl w:val="nil"/>
            </w:tcBorders>
            <w:shd w:val="clear" w:color="auto" w:fill="auto"/>
            <w:noWrap/>
            <w:vAlign w:val="center"/>
          </w:tcPr>
          <w:p w14:paraId="35B70511">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w:t>
            </w:r>
          </w:p>
        </w:tc>
        <w:tc>
          <w:tcPr>
            <w:tcW w:w="731" w:type="pct"/>
            <w:tcBorders>
              <w:tl2br w:val="nil"/>
              <w:tr2bl w:val="nil"/>
            </w:tcBorders>
            <w:shd w:val="clear" w:color="auto" w:fill="auto"/>
            <w:noWrap/>
            <w:vAlign w:val="center"/>
          </w:tcPr>
          <w:p w14:paraId="7AD0C7FE">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治理面积</w:t>
            </w:r>
          </w:p>
        </w:tc>
        <w:tc>
          <w:tcPr>
            <w:tcW w:w="537" w:type="pct"/>
            <w:tcBorders>
              <w:tl2br w:val="nil"/>
              <w:tr2bl w:val="nil"/>
            </w:tcBorders>
            <w:shd w:val="clear" w:color="auto" w:fill="auto"/>
            <w:noWrap/>
            <w:vAlign w:val="center"/>
          </w:tcPr>
          <w:p w14:paraId="279A60F7">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2020年</w:t>
            </w:r>
          </w:p>
        </w:tc>
        <w:tc>
          <w:tcPr>
            <w:tcW w:w="558" w:type="pct"/>
            <w:tcBorders>
              <w:tl2br w:val="nil"/>
              <w:tr2bl w:val="nil"/>
            </w:tcBorders>
            <w:shd w:val="clear" w:color="auto" w:fill="auto"/>
            <w:noWrap/>
            <w:vAlign w:val="center"/>
          </w:tcPr>
          <w:p w14:paraId="586CA1CD">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2025年</w:t>
            </w:r>
          </w:p>
        </w:tc>
        <w:tc>
          <w:tcPr>
            <w:tcW w:w="525" w:type="pct"/>
            <w:tcBorders>
              <w:tl2br w:val="nil"/>
              <w:tr2bl w:val="nil"/>
            </w:tcBorders>
            <w:shd w:val="clear" w:color="auto" w:fill="auto"/>
            <w:noWrap/>
            <w:vAlign w:val="center"/>
          </w:tcPr>
          <w:p w14:paraId="7B2A09DF">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提高值</w:t>
            </w:r>
          </w:p>
        </w:tc>
      </w:tr>
      <w:tr w14:paraId="01F736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restart"/>
            <w:tcBorders>
              <w:tl2br w:val="nil"/>
              <w:tr2bl w:val="nil"/>
            </w:tcBorders>
            <w:shd w:val="clear" w:color="auto" w:fill="auto"/>
            <w:noWrap/>
            <w:vAlign w:val="center"/>
          </w:tcPr>
          <w:p w14:paraId="16039C2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珠江</w:t>
            </w:r>
          </w:p>
        </w:tc>
        <w:tc>
          <w:tcPr>
            <w:tcW w:w="754" w:type="pct"/>
            <w:vMerge w:val="restart"/>
            <w:tcBorders>
              <w:tl2br w:val="nil"/>
              <w:tr2bl w:val="nil"/>
            </w:tcBorders>
            <w:shd w:val="clear" w:color="auto" w:fill="auto"/>
            <w:noWrap/>
            <w:vAlign w:val="center"/>
          </w:tcPr>
          <w:p w14:paraId="19905B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北盘江水系</w:t>
            </w:r>
          </w:p>
        </w:tc>
        <w:tc>
          <w:tcPr>
            <w:tcW w:w="630" w:type="pct"/>
            <w:tcBorders>
              <w:tl2br w:val="nil"/>
              <w:tr2bl w:val="nil"/>
            </w:tcBorders>
            <w:shd w:val="clear" w:color="auto" w:fill="auto"/>
            <w:noWrap/>
            <w:vAlign w:val="center"/>
          </w:tcPr>
          <w:p w14:paraId="2AEDA53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703" w:type="pct"/>
            <w:tcBorders>
              <w:tl2br w:val="nil"/>
              <w:tr2bl w:val="nil"/>
            </w:tcBorders>
            <w:shd w:val="clear" w:color="auto" w:fill="auto"/>
            <w:noWrap/>
            <w:vAlign w:val="center"/>
          </w:tcPr>
          <w:p w14:paraId="5E9B645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2729.90 </w:t>
            </w:r>
          </w:p>
        </w:tc>
        <w:tc>
          <w:tcPr>
            <w:tcW w:w="731" w:type="pct"/>
            <w:tcBorders>
              <w:tl2br w:val="nil"/>
              <w:tr2bl w:val="nil"/>
            </w:tcBorders>
            <w:shd w:val="clear" w:color="auto" w:fill="auto"/>
            <w:noWrap/>
            <w:vAlign w:val="center"/>
          </w:tcPr>
          <w:p w14:paraId="56592A1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872 </w:t>
            </w:r>
          </w:p>
        </w:tc>
        <w:tc>
          <w:tcPr>
            <w:tcW w:w="537" w:type="pct"/>
            <w:vMerge w:val="restart"/>
            <w:tcBorders>
              <w:tl2br w:val="nil"/>
              <w:tr2bl w:val="nil"/>
            </w:tcBorders>
            <w:shd w:val="clear" w:color="auto" w:fill="auto"/>
            <w:noWrap/>
            <w:vAlign w:val="center"/>
          </w:tcPr>
          <w:p w14:paraId="373982E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66.81 </w:t>
            </w:r>
          </w:p>
        </w:tc>
        <w:tc>
          <w:tcPr>
            <w:tcW w:w="558" w:type="pct"/>
            <w:vMerge w:val="restart"/>
            <w:tcBorders>
              <w:tl2br w:val="nil"/>
              <w:tr2bl w:val="nil"/>
            </w:tcBorders>
            <w:shd w:val="clear" w:color="auto" w:fill="auto"/>
            <w:noWrap/>
            <w:vAlign w:val="center"/>
          </w:tcPr>
          <w:p w14:paraId="138DA2D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68.67 </w:t>
            </w:r>
          </w:p>
        </w:tc>
        <w:tc>
          <w:tcPr>
            <w:tcW w:w="525" w:type="pct"/>
            <w:vMerge w:val="restart"/>
            <w:tcBorders>
              <w:tl2br w:val="nil"/>
              <w:tr2bl w:val="nil"/>
            </w:tcBorders>
            <w:shd w:val="clear" w:color="auto" w:fill="auto"/>
            <w:noWrap/>
            <w:vAlign w:val="center"/>
          </w:tcPr>
          <w:p w14:paraId="4A0D9AD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1.86 </w:t>
            </w:r>
          </w:p>
        </w:tc>
      </w:tr>
      <w:tr w14:paraId="2545110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60DA4AA8">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4AF435A0">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40C9441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703" w:type="pct"/>
            <w:tcBorders>
              <w:tl2br w:val="nil"/>
              <w:tr2bl w:val="nil"/>
            </w:tcBorders>
            <w:shd w:val="clear" w:color="auto" w:fill="auto"/>
            <w:noWrap/>
            <w:vAlign w:val="center"/>
          </w:tcPr>
          <w:p w14:paraId="5989905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943.33 </w:t>
            </w:r>
          </w:p>
        </w:tc>
        <w:tc>
          <w:tcPr>
            <w:tcW w:w="731" w:type="pct"/>
            <w:tcBorders>
              <w:tl2br w:val="nil"/>
              <w:tr2bl w:val="nil"/>
            </w:tcBorders>
            <w:shd w:val="clear" w:color="auto" w:fill="auto"/>
            <w:noWrap/>
            <w:vAlign w:val="center"/>
          </w:tcPr>
          <w:p w14:paraId="1367A83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220 </w:t>
            </w:r>
          </w:p>
        </w:tc>
        <w:tc>
          <w:tcPr>
            <w:tcW w:w="537" w:type="pct"/>
            <w:vMerge w:val="continue"/>
            <w:tcBorders>
              <w:tl2br w:val="nil"/>
              <w:tr2bl w:val="nil"/>
            </w:tcBorders>
            <w:shd w:val="clear" w:color="auto" w:fill="auto"/>
            <w:noWrap/>
            <w:vAlign w:val="center"/>
          </w:tcPr>
          <w:p w14:paraId="685955BC">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4B39192E">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024777B1">
            <w:pPr>
              <w:jc w:val="center"/>
              <w:rPr>
                <w:rFonts w:hint="default" w:ascii="Times New Roman" w:hAnsi="Times New Roman" w:eastAsia="宋体" w:cs="Times New Roman"/>
                <w:i w:val="0"/>
                <w:iCs w:val="0"/>
                <w:color w:val="auto"/>
                <w:sz w:val="22"/>
                <w:szCs w:val="22"/>
                <w:u w:val="none"/>
              </w:rPr>
            </w:pPr>
          </w:p>
        </w:tc>
      </w:tr>
      <w:tr w14:paraId="334AE7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4BB13862">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030C53D1">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5B6838A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703" w:type="pct"/>
            <w:tcBorders>
              <w:tl2br w:val="nil"/>
              <w:tr2bl w:val="nil"/>
            </w:tcBorders>
            <w:shd w:val="clear" w:color="auto" w:fill="auto"/>
            <w:noWrap/>
            <w:vAlign w:val="center"/>
          </w:tcPr>
          <w:p w14:paraId="471B2AB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3290.37 </w:t>
            </w:r>
          </w:p>
        </w:tc>
        <w:tc>
          <w:tcPr>
            <w:tcW w:w="731" w:type="pct"/>
            <w:tcBorders>
              <w:tl2br w:val="nil"/>
              <w:tr2bl w:val="nil"/>
            </w:tcBorders>
            <w:shd w:val="clear" w:color="auto" w:fill="auto"/>
            <w:noWrap/>
            <w:vAlign w:val="center"/>
          </w:tcPr>
          <w:p w14:paraId="01B4941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1113 </w:t>
            </w:r>
          </w:p>
        </w:tc>
        <w:tc>
          <w:tcPr>
            <w:tcW w:w="537" w:type="pct"/>
            <w:vMerge w:val="continue"/>
            <w:tcBorders>
              <w:tl2br w:val="nil"/>
              <w:tr2bl w:val="nil"/>
            </w:tcBorders>
            <w:shd w:val="clear" w:color="auto" w:fill="auto"/>
            <w:noWrap/>
            <w:vAlign w:val="center"/>
          </w:tcPr>
          <w:p w14:paraId="50CDCCD4">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49D71CC0">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003387CF">
            <w:pPr>
              <w:jc w:val="center"/>
              <w:rPr>
                <w:rFonts w:hint="default" w:ascii="Times New Roman" w:hAnsi="Times New Roman" w:eastAsia="宋体" w:cs="Times New Roman"/>
                <w:i w:val="0"/>
                <w:iCs w:val="0"/>
                <w:color w:val="auto"/>
                <w:sz w:val="22"/>
                <w:szCs w:val="22"/>
                <w:u w:val="none"/>
              </w:rPr>
            </w:pPr>
          </w:p>
        </w:tc>
      </w:tr>
      <w:tr w14:paraId="4981DA6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0553719A">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2C8233BC">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79AB635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14:paraId="3C6E294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6963.60 </w:t>
            </w:r>
          </w:p>
        </w:tc>
        <w:tc>
          <w:tcPr>
            <w:tcW w:w="731" w:type="pct"/>
            <w:tcBorders>
              <w:tl2br w:val="nil"/>
              <w:tr2bl w:val="nil"/>
            </w:tcBorders>
            <w:shd w:val="clear" w:color="auto" w:fill="auto"/>
            <w:noWrap/>
            <w:vAlign w:val="center"/>
          </w:tcPr>
          <w:p w14:paraId="39D7826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220</w:t>
            </w:r>
            <w:r>
              <w:rPr>
                <w:rFonts w:hint="eastAsia" w:ascii="Times New Roman" w:hAnsi="Times New Roman" w:eastAsia="宋体" w:cs="Times New Roman"/>
                <w:i w:val="0"/>
                <w:iCs w:val="0"/>
                <w:color w:val="auto"/>
                <w:kern w:val="0"/>
                <w:sz w:val="22"/>
                <w:szCs w:val="22"/>
                <w:u w:val="none"/>
                <w:lang w:val="en-US" w:eastAsia="zh-CN" w:bidi="ar"/>
              </w:rPr>
              <w:t>5</w:t>
            </w:r>
          </w:p>
        </w:tc>
        <w:tc>
          <w:tcPr>
            <w:tcW w:w="537" w:type="pct"/>
            <w:vMerge w:val="continue"/>
            <w:tcBorders>
              <w:tl2br w:val="nil"/>
              <w:tr2bl w:val="nil"/>
            </w:tcBorders>
            <w:shd w:val="clear" w:color="auto" w:fill="auto"/>
            <w:noWrap/>
            <w:vAlign w:val="center"/>
          </w:tcPr>
          <w:p w14:paraId="1E29691F">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71D72C45">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628DB857">
            <w:pPr>
              <w:jc w:val="center"/>
              <w:rPr>
                <w:rFonts w:hint="default" w:ascii="Times New Roman" w:hAnsi="Times New Roman" w:eastAsia="宋体" w:cs="Times New Roman"/>
                <w:i w:val="0"/>
                <w:iCs w:val="0"/>
                <w:color w:val="auto"/>
                <w:sz w:val="22"/>
                <w:szCs w:val="22"/>
                <w:u w:val="none"/>
              </w:rPr>
            </w:pPr>
          </w:p>
        </w:tc>
      </w:tr>
      <w:tr w14:paraId="662CE0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4EA71C5F">
            <w:pPr>
              <w:jc w:val="center"/>
              <w:rPr>
                <w:rFonts w:hint="default" w:ascii="Times New Roman" w:hAnsi="Times New Roman" w:eastAsia="宋体" w:cs="Times New Roman"/>
                <w:i w:val="0"/>
                <w:iCs w:val="0"/>
                <w:color w:val="auto"/>
                <w:sz w:val="22"/>
                <w:szCs w:val="22"/>
                <w:u w:val="none"/>
              </w:rPr>
            </w:pPr>
          </w:p>
        </w:tc>
        <w:tc>
          <w:tcPr>
            <w:tcW w:w="754" w:type="pct"/>
            <w:vMerge w:val="restart"/>
            <w:tcBorders>
              <w:tl2br w:val="nil"/>
              <w:tr2bl w:val="nil"/>
            </w:tcBorders>
            <w:shd w:val="clear" w:color="auto" w:fill="auto"/>
            <w:noWrap/>
            <w:vAlign w:val="center"/>
          </w:tcPr>
          <w:p w14:paraId="463BCC7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红水河水系</w:t>
            </w:r>
          </w:p>
        </w:tc>
        <w:tc>
          <w:tcPr>
            <w:tcW w:w="630" w:type="pct"/>
            <w:tcBorders>
              <w:tl2br w:val="nil"/>
              <w:tr2bl w:val="nil"/>
            </w:tcBorders>
            <w:shd w:val="clear" w:color="auto" w:fill="auto"/>
            <w:noWrap/>
            <w:vAlign w:val="center"/>
          </w:tcPr>
          <w:p w14:paraId="0825706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703" w:type="pct"/>
            <w:tcBorders>
              <w:tl2br w:val="nil"/>
              <w:tr2bl w:val="nil"/>
            </w:tcBorders>
            <w:shd w:val="clear" w:color="auto" w:fill="auto"/>
            <w:noWrap/>
            <w:vAlign w:val="center"/>
          </w:tcPr>
          <w:p w14:paraId="7344F71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672.83 </w:t>
            </w:r>
          </w:p>
        </w:tc>
        <w:tc>
          <w:tcPr>
            <w:tcW w:w="731" w:type="pct"/>
            <w:tcBorders>
              <w:tl2br w:val="nil"/>
              <w:tr2bl w:val="nil"/>
            </w:tcBorders>
            <w:shd w:val="clear" w:color="auto" w:fill="auto"/>
            <w:noWrap/>
            <w:vAlign w:val="center"/>
          </w:tcPr>
          <w:p w14:paraId="39D0CB1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111 </w:t>
            </w:r>
          </w:p>
        </w:tc>
        <w:tc>
          <w:tcPr>
            <w:tcW w:w="537" w:type="pct"/>
            <w:vMerge w:val="restart"/>
            <w:tcBorders>
              <w:tl2br w:val="nil"/>
              <w:tr2bl w:val="nil"/>
            </w:tcBorders>
            <w:shd w:val="clear" w:color="auto" w:fill="auto"/>
            <w:noWrap/>
            <w:vAlign w:val="center"/>
          </w:tcPr>
          <w:p w14:paraId="26F102D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73.08 </w:t>
            </w:r>
          </w:p>
        </w:tc>
        <w:tc>
          <w:tcPr>
            <w:tcW w:w="558" w:type="pct"/>
            <w:vMerge w:val="restart"/>
            <w:tcBorders>
              <w:tl2br w:val="nil"/>
              <w:tr2bl w:val="nil"/>
            </w:tcBorders>
            <w:shd w:val="clear" w:color="auto" w:fill="auto"/>
            <w:noWrap/>
            <w:vAlign w:val="center"/>
          </w:tcPr>
          <w:p w14:paraId="5A50C3A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74.33 </w:t>
            </w:r>
          </w:p>
        </w:tc>
        <w:tc>
          <w:tcPr>
            <w:tcW w:w="525" w:type="pct"/>
            <w:vMerge w:val="restart"/>
            <w:tcBorders>
              <w:tl2br w:val="nil"/>
              <w:tr2bl w:val="nil"/>
            </w:tcBorders>
            <w:shd w:val="clear" w:color="auto" w:fill="auto"/>
            <w:noWrap/>
            <w:vAlign w:val="center"/>
          </w:tcPr>
          <w:p w14:paraId="64EC09C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1.25 </w:t>
            </w:r>
          </w:p>
        </w:tc>
      </w:tr>
      <w:tr w14:paraId="0F2BBDD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1A1D4937">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0630373D">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208D81B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703" w:type="pct"/>
            <w:tcBorders>
              <w:tl2br w:val="nil"/>
              <w:tr2bl w:val="nil"/>
            </w:tcBorders>
            <w:shd w:val="clear" w:color="auto" w:fill="auto"/>
            <w:noWrap/>
            <w:vAlign w:val="center"/>
          </w:tcPr>
          <w:p w14:paraId="2F45A3F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96.31 </w:t>
            </w:r>
          </w:p>
        </w:tc>
        <w:tc>
          <w:tcPr>
            <w:tcW w:w="731" w:type="pct"/>
            <w:tcBorders>
              <w:tl2br w:val="nil"/>
              <w:tr2bl w:val="nil"/>
            </w:tcBorders>
            <w:shd w:val="clear" w:color="auto" w:fill="auto"/>
            <w:noWrap/>
            <w:vAlign w:val="center"/>
          </w:tcPr>
          <w:p w14:paraId="32532E7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33 </w:t>
            </w:r>
          </w:p>
        </w:tc>
        <w:tc>
          <w:tcPr>
            <w:tcW w:w="537" w:type="pct"/>
            <w:vMerge w:val="continue"/>
            <w:tcBorders>
              <w:tl2br w:val="nil"/>
              <w:tr2bl w:val="nil"/>
            </w:tcBorders>
            <w:shd w:val="clear" w:color="auto" w:fill="auto"/>
            <w:noWrap/>
            <w:vAlign w:val="center"/>
          </w:tcPr>
          <w:p w14:paraId="0349FB36">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4B601360">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51A0910D">
            <w:pPr>
              <w:jc w:val="center"/>
              <w:rPr>
                <w:rFonts w:hint="default" w:ascii="Times New Roman" w:hAnsi="Times New Roman" w:eastAsia="宋体" w:cs="Times New Roman"/>
                <w:i w:val="0"/>
                <w:iCs w:val="0"/>
                <w:color w:val="auto"/>
                <w:sz w:val="22"/>
                <w:szCs w:val="22"/>
                <w:u w:val="none"/>
              </w:rPr>
            </w:pPr>
          </w:p>
        </w:tc>
      </w:tr>
      <w:tr w14:paraId="1F809CB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77D7915A">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48C44032">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4E7A6DD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703" w:type="pct"/>
            <w:tcBorders>
              <w:tl2br w:val="nil"/>
              <w:tr2bl w:val="nil"/>
            </w:tcBorders>
            <w:shd w:val="clear" w:color="auto" w:fill="auto"/>
            <w:noWrap/>
            <w:vAlign w:val="center"/>
          </w:tcPr>
          <w:p w14:paraId="53B94FB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3532.08 </w:t>
            </w:r>
          </w:p>
        </w:tc>
        <w:tc>
          <w:tcPr>
            <w:tcW w:w="731" w:type="pct"/>
            <w:tcBorders>
              <w:tl2br w:val="nil"/>
              <w:tr2bl w:val="nil"/>
            </w:tcBorders>
            <w:shd w:val="clear" w:color="auto" w:fill="auto"/>
            <w:noWrap/>
            <w:vAlign w:val="center"/>
          </w:tcPr>
          <w:p w14:paraId="4F8941C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764 </w:t>
            </w:r>
          </w:p>
        </w:tc>
        <w:tc>
          <w:tcPr>
            <w:tcW w:w="537" w:type="pct"/>
            <w:vMerge w:val="continue"/>
            <w:tcBorders>
              <w:tl2br w:val="nil"/>
              <w:tr2bl w:val="nil"/>
            </w:tcBorders>
            <w:shd w:val="clear" w:color="auto" w:fill="auto"/>
            <w:noWrap/>
            <w:vAlign w:val="center"/>
          </w:tcPr>
          <w:p w14:paraId="4B4917CC">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137D8FD8">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00CC39FD">
            <w:pPr>
              <w:jc w:val="center"/>
              <w:rPr>
                <w:rFonts w:hint="default" w:ascii="Times New Roman" w:hAnsi="Times New Roman" w:eastAsia="宋体" w:cs="Times New Roman"/>
                <w:i w:val="0"/>
                <w:iCs w:val="0"/>
                <w:color w:val="auto"/>
                <w:sz w:val="22"/>
                <w:szCs w:val="22"/>
                <w:u w:val="none"/>
              </w:rPr>
            </w:pPr>
          </w:p>
        </w:tc>
      </w:tr>
      <w:tr w14:paraId="485F7CA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53B22A91">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3010AF8E">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584CA57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14:paraId="2786049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4301.22 </w:t>
            </w:r>
          </w:p>
        </w:tc>
        <w:tc>
          <w:tcPr>
            <w:tcW w:w="731" w:type="pct"/>
            <w:tcBorders>
              <w:tl2br w:val="nil"/>
              <w:tr2bl w:val="nil"/>
            </w:tcBorders>
            <w:shd w:val="clear" w:color="auto" w:fill="auto"/>
            <w:noWrap/>
            <w:vAlign w:val="center"/>
          </w:tcPr>
          <w:p w14:paraId="6F34E3D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90</w:t>
            </w:r>
            <w:r>
              <w:rPr>
                <w:rFonts w:hint="eastAsia" w:ascii="Times New Roman" w:hAnsi="Times New Roman" w:eastAsia="宋体" w:cs="Times New Roman"/>
                <w:i w:val="0"/>
                <w:iCs w:val="0"/>
                <w:color w:val="auto"/>
                <w:kern w:val="0"/>
                <w:sz w:val="22"/>
                <w:szCs w:val="22"/>
                <w:u w:val="none"/>
                <w:lang w:val="en-US" w:eastAsia="zh-CN" w:bidi="ar"/>
              </w:rPr>
              <w:t>8</w:t>
            </w:r>
          </w:p>
        </w:tc>
        <w:tc>
          <w:tcPr>
            <w:tcW w:w="537" w:type="pct"/>
            <w:vMerge w:val="continue"/>
            <w:tcBorders>
              <w:tl2br w:val="nil"/>
              <w:tr2bl w:val="nil"/>
            </w:tcBorders>
            <w:shd w:val="clear" w:color="auto" w:fill="auto"/>
            <w:noWrap/>
            <w:vAlign w:val="center"/>
          </w:tcPr>
          <w:p w14:paraId="39C0FBB0">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57A0B10B">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46F9DF7D">
            <w:pPr>
              <w:jc w:val="center"/>
              <w:rPr>
                <w:rFonts w:hint="default" w:ascii="Times New Roman" w:hAnsi="Times New Roman" w:eastAsia="宋体" w:cs="Times New Roman"/>
                <w:i w:val="0"/>
                <w:iCs w:val="0"/>
                <w:color w:val="auto"/>
                <w:sz w:val="22"/>
                <w:szCs w:val="22"/>
                <w:u w:val="none"/>
              </w:rPr>
            </w:pPr>
          </w:p>
        </w:tc>
      </w:tr>
      <w:tr w14:paraId="2CC133B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511A48FB">
            <w:pPr>
              <w:jc w:val="center"/>
              <w:rPr>
                <w:rFonts w:hint="default" w:ascii="Times New Roman" w:hAnsi="Times New Roman" w:eastAsia="宋体" w:cs="Times New Roman"/>
                <w:i w:val="0"/>
                <w:iCs w:val="0"/>
                <w:color w:val="auto"/>
                <w:sz w:val="22"/>
                <w:szCs w:val="22"/>
                <w:u w:val="none"/>
              </w:rPr>
            </w:pPr>
          </w:p>
        </w:tc>
        <w:tc>
          <w:tcPr>
            <w:tcW w:w="754" w:type="pct"/>
            <w:vMerge w:val="restart"/>
            <w:tcBorders>
              <w:tl2br w:val="nil"/>
              <w:tr2bl w:val="nil"/>
            </w:tcBorders>
            <w:shd w:val="clear" w:color="auto" w:fill="auto"/>
            <w:noWrap/>
            <w:vAlign w:val="center"/>
          </w:tcPr>
          <w:p w14:paraId="6CC58A2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柳江水系</w:t>
            </w:r>
          </w:p>
        </w:tc>
        <w:tc>
          <w:tcPr>
            <w:tcW w:w="630" w:type="pct"/>
            <w:tcBorders>
              <w:tl2br w:val="nil"/>
              <w:tr2bl w:val="nil"/>
            </w:tcBorders>
            <w:shd w:val="clear" w:color="auto" w:fill="auto"/>
            <w:noWrap/>
            <w:vAlign w:val="center"/>
          </w:tcPr>
          <w:p w14:paraId="5DBC4B5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703" w:type="pct"/>
            <w:tcBorders>
              <w:tl2br w:val="nil"/>
              <w:tr2bl w:val="nil"/>
            </w:tcBorders>
            <w:shd w:val="clear" w:color="auto" w:fill="auto"/>
            <w:noWrap/>
            <w:vAlign w:val="center"/>
          </w:tcPr>
          <w:p w14:paraId="584FDD5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1456.70 </w:t>
            </w:r>
          </w:p>
        </w:tc>
        <w:tc>
          <w:tcPr>
            <w:tcW w:w="731" w:type="pct"/>
            <w:tcBorders>
              <w:tl2br w:val="nil"/>
              <w:tr2bl w:val="nil"/>
            </w:tcBorders>
            <w:shd w:val="clear" w:color="auto" w:fill="auto"/>
            <w:noWrap/>
            <w:vAlign w:val="center"/>
          </w:tcPr>
          <w:p w14:paraId="294BEDA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425 </w:t>
            </w:r>
          </w:p>
        </w:tc>
        <w:tc>
          <w:tcPr>
            <w:tcW w:w="537" w:type="pct"/>
            <w:vMerge w:val="restart"/>
            <w:tcBorders>
              <w:tl2br w:val="nil"/>
              <w:tr2bl w:val="nil"/>
            </w:tcBorders>
            <w:shd w:val="clear" w:color="auto" w:fill="auto"/>
            <w:noWrap/>
            <w:vAlign w:val="center"/>
          </w:tcPr>
          <w:p w14:paraId="07C5861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85.22 </w:t>
            </w:r>
          </w:p>
        </w:tc>
        <w:tc>
          <w:tcPr>
            <w:tcW w:w="558" w:type="pct"/>
            <w:vMerge w:val="restart"/>
            <w:tcBorders>
              <w:tl2br w:val="nil"/>
              <w:tr2bl w:val="nil"/>
            </w:tcBorders>
            <w:shd w:val="clear" w:color="auto" w:fill="auto"/>
            <w:noWrap/>
            <w:vAlign w:val="center"/>
          </w:tcPr>
          <w:p w14:paraId="4403E79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86.92 </w:t>
            </w:r>
          </w:p>
        </w:tc>
        <w:tc>
          <w:tcPr>
            <w:tcW w:w="525" w:type="pct"/>
            <w:vMerge w:val="restart"/>
            <w:tcBorders>
              <w:tl2br w:val="nil"/>
              <w:tr2bl w:val="nil"/>
            </w:tcBorders>
            <w:shd w:val="clear" w:color="auto" w:fill="auto"/>
            <w:noWrap/>
            <w:vAlign w:val="center"/>
          </w:tcPr>
          <w:p w14:paraId="716151B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1.70 </w:t>
            </w:r>
          </w:p>
        </w:tc>
      </w:tr>
      <w:tr w14:paraId="1794D58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15E7C993">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77EAB4E6">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15BA131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703" w:type="pct"/>
            <w:tcBorders>
              <w:tl2br w:val="nil"/>
              <w:tr2bl w:val="nil"/>
            </w:tcBorders>
            <w:shd w:val="clear" w:color="auto" w:fill="auto"/>
            <w:noWrap/>
            <w:vAlign w:val="center"/>
          </w:tcPr>
          <w:p w14:paraId="57B8C4A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879.62 </w:t>
            </w:r>
          </w:p>
        </w:tc>
        <w:tc>
          <w:tcPr>
            <w:tcW w:w="731" w:type="pct"/>
            <w:tcBorders>
              <w:tl2br w:val="nil"/>
              <w:tr2bl w:val="nil"/>
            </w:tcBorders>
            <w:shd w:val="clear" w:color="auto" w:fill="auto"/>
            <w:noWrap/>
            <w:vAlign w:val="center"/>
          </w:tcPr>
          <w:p w14:paraId="6E74B40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237 </w:t>
            </w:r>
          </w:p>
        </w:tc>
        <w:tc>
          <w:tcPr>
            <w:tcW w:w="537" w:type="pct"/>
            <w:vMerge w:val="continue"/>
            <w:tcBorders>
              <w:tl2br w:val="nil"/>
              <w:tr2bl w:val="nil"/>
            </w:tcBorders>
            <w:shd w:val="clear" w:color="auto" w:fill="auto"/>
            <w:noWrap/>
            <w:vAlign w:val="center"/>
          </w:tcPr>
          <w:p w14:paraId="432003F4">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67A865D7">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09239050">
            <w:pPr>
              <w:jc w:val="center"/>
              <w:rPr>
                <w:rFonts w:hint="default" w:ascii="Times New Roman" w:hAnsi="Times New Roman" w:eastAsia="宋体" w:cs="Times New Roman"/>
                <w:i w:val="0"/>
                <w:iCs w:val="0"/>
                <w:color w:val="auto"/>
                <w:sz w:val="22"/>
                <w:szCs w:val="22"/>
                <w:u w:val="none"/>
              </w:rPr>
            </w:pPr>
          </w:p>
        </w:tc>
      </w:tr>
      <w:tr w14:paraId="493AE1D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521B8F4A">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1BF10438">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0E6AA05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14:paraId="06566C7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2336.32 </w:t>
            </w:r>
          </w:p>
        </w:tc>
        <w:tc>
          <w:tcPr>
            <w:tcW w:w="731" w:type="pct"/>
            <w:tcBorders>
              <w:tl2br w:val="nil"/>
              <w:tr2bl w:val="nil"/>
            </w:tcBorders>
            <w:shd w:val="clear" w:color="auto" w:fill="auto"/>
            <w:noWrap/>
            <w:vAlign w:val="center"/>
          </w:tcPr>
          <w:p w14:paraId="4609563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662 </w:t>
            </w:r>
          </w:p>
        </w:tc>
        <w:tc>
          <w:tcPr>
            <w:tcW w:w="537" w:type="pct"/>
            <w:vMerge w:val="continue"/>
            <w:tcBorders>
              <w:tl2br w:val="nil"/>
              <w:tr2bl w:val="nil"/>
            </w:tcBorders>
            <w:shd w:val="clear" w:color="auto" w:fill="auto"/>
            <w:noWrap/>
            <w:vAlign w:val="center"/>
          </w:tcPr>
          <w:p w14:paraId="46B7B06F">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4E3B124E">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5DD885DD">
            <w:pPr>
              <w:jc w:val="center"/>
              <w:rPr>
                <w:rFonts w:hint="default" w:ascii="Times New Roman" w:hAnsi="Times New Roman" w:eastAsia="宋体" w:cs="Times New Roman"/>
                <w:i w:val="0"/>
                <w:iCs w:val="0"/>
                <w:color w:val="auto"/>
                <w:sz w:val="22"/>
                <w:szCs w:val="22"/>
                <w:u w:val="none"/>
              </w:rPr>
            </w:pPr>
          </w:p>
        </w:tc>
      </w:tr>
      <w:tr w14:paraId="190B18E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07942262">
            <w:pPr>
              <w:jc w:val="center"/>
              <w:rPr>
                <w:rFonts w:hint="default" w:ascii="Times New Roman" w:hAnsi="Times New Roman" w:eastAsia="宋体" w:cs="Times New Roman"/>
                <w:i w:val="0"/>
                <w:iCs w:val="0"/>
                <w:color w:val="auto"/>
                <w:sz w:val="22"/>
                <w:szCs w:val="22"/>
                <w:u w:val="none"/>
              </w:rPr>
            </w:pPr>
          </w:p>
        </w:tc>
        <w:tc>
          <w:tcPr>
            <w:tcW w:w="754" w:type="pct"/>
            <w:vMerge w:val="restart"/>
            <w:tcBorders>
              <w:tl2br w:val="nil"/>
              <w:tr2bl w:val="nil"/>
            </w:tcBorders>
            <w:shd w:val="clear" w:color="auto" w:fill="auto"/>
            <w:noWrap/>
            <w:vAlign w:val="center"/>
          </w:tcPr>
          <w:p w14:paraId="0937A45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南盘江水系</w:t>
            </w:r>
          </w:p>
        </w:tc>
        <w:tc>
          <w:tcPr>
            <w:tcW w:w="630" w:type="pct"/>
            <w:tcBorders>
              <w:tl2br w:val="nil"/>
              <w:tr2bl w:val="nil"/>
            </w:tcBorders>
            <w:shd w:val="clear" w:color="auto" w:fill="auto"/>
            <w:noWrap/>
            <w:vAlign w:val="center"/>
          </w:tcPr>
          <w:p w14:paraId="3017F9D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703" w:type="pct"/>
            <w:tcBorders>
              <w:tl2br w:val="nil"/>
              <w:tr2bl w:val="nil"/>
            </w:tcBorders>
            <w:shd w:val="clear" w:color="auto" w:fill="auto"/>
            <w:noWrap/>
            <w:vAlign w:val="center"/>
          </w:tcPr>
          <w:p w14:paraId="762CAE6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616.54 </w:t>
            </w:r>
          </w:p>
        </w:tc>
        <w:tc>
          <w:tcPr>
            <w:tcW w:w="731" w:type="pct"/>
            <w:tcBorders>
              <w:tl2br w:val="nil"/>
              <w:tr2bl w:val="nil"/>
            </w:tcBorders>
            <w:shd w:val="clear" w:color="auto" w:fill="auto"/>
            <w:noWrap/>
            <w:vAlign w:val="center"/>
          </w:tcPr>
          <w:p w14:paraId="48E5510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203 </w:t>
            </w:r>
          </w:p>
        </w:tc>
        <w:tc>
          <w:tcPr>
            <w:tcW w:w="537" w:type="pct"/>
            <w:vMerge w:val="restart"/>
            <w:tcBorders>
              <w:tl2br w:val="nil"/>
              <w:tr2bl w:val="nil"/>
            </w:tcBorders>
            <w:shd w:val="clear" w:color="auto" w:fill="auto"/>
            <w:noWrap/>
            <w:vAlign w:val="center"/>
          </w:tcPr>
          <w:p w14:paraId="157D673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72.44 </w:t>
            </w:r>
          </w:p>
        </w:tc>
        <w:tc>
          <w:tcPr>
            <w:tcW w:w="558" w:type="pct"/>
            <w:vMerge w:val="restart"/>
            <w:tcBorders>
              <w:tl2br w:val="nil"/>
              <w:tr2bl w:val="nil"/>
            </w:tcBorders>
            <w:shd w:val="clear" w:color="auto" w:fill="auto"/>
            <w:noWrap/>
            <w:vAlign w:val="center"/>
          </w:tcPr>
          <w:p w14:paraId="5125972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74.26 </w:t>
            </w:r>
          </w:p>
        </w:tc>
        <w:tc>
          <w:tcPr>
            <w:tcW w:w="525" w:type="pct"/>
            <w:vMerge w:val="restart"/>
            <w:tcBorders>
              <w:tl2br w:val="nil"/>
              <w:tr2bl w:val="nil"/>
            </w:tcBorders>
            <w:shd w:val="clear" w:color="auto" w:fill="auto"/>
            <w:noWrap/>
            <w:vAlign w:val="center"/>
          </w:tcPr>
          <w:p w14:paraId="4F00FDC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1.82 </w:t>
            </w:r>
          </w:p>
        </w:tc>
      </w:tr>
      <w:tr w14:paraId="71B5A2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09220C26">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3DA76020">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37E1A83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703" w:type="pct"/>
            <w:tcBorders>
              <w:tl2br w:val="nil"/>
              <w:tr2bl w:val="nil"/>
            </w:tcBorders>
            <w:shd w:val="clear" w:color="auto" w:fill="auto"/>
            <w:noWrap/>
            <w:vAlign w:val="center"/>
          </w:tcPr>
          <w:p w14:paraId="364062D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1492.20 </w:t>
            </w:r>
          </w:p>
        </w:tc>
        <w:tc>
          <w:tcPr>
            <w:tcW w:w="731" w:type="pct"/>
            <w:tcBorders>
              <w:tl2br w:val="nil"/>
              <w:tr2bl w:val="nil"/>
            </w:tcBorders>
            <w:shd w:val="clear" w:color="auto" w:fill="auto"/>
            <w:noWrap/>
            <w:vAlign w:val="center"/>
          </w:tcPr>
          <w:p w14:paraId="7DA830E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505 </w:t>
            </w:r>
          </w:p>
        </w:tc>
        <w:tc>
          <w:tcPr>
            <w:tcW w:w="537" w:type="pct"/>
            <w:vMerge w:val="continue"/>
            <w:tcBorders>
              <w:tl2br w:val="nil"/>
              <w:tr2bl w:val="nil"/>
            </w:tcBorders>
            <w:shd w:val="clear" w:color="auto" w:fill="auto"/>
            <w:noWrap/>
            <w:vAlign w:val="center"/>
          </w:tcPr>
          <w:p w14:paraId="6D208948">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0E7972B9">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6F55EDE2">
            <w:pPr>
              <w:jc w:val="center"/>
              <w:rPr>
                <w:rFonts w:hint="default" w:ascii="Times New Roman" w:hAnsi="Times New Roman" w:eastAsia="宋体" w:cs="Times New Roman"/>
                <w:i w:val="0"/>
                <w:iCs w:val="0"/>
                <w:color w:val="auto"/>
                <w:sz w:val="22"/>
                <w:szCs w:val="22"/>
                <w:u w:val="none"/>
              </w:rPr>
            </w:pPr>
          </w:p>
        </w:tc>
      </w:tr>
      <w:tr w14:paraId="74B0D0F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06EB1AAA">
            <w:pPr>
              <w:jc w:val="center"/>
              <w:rPr>
                <w:rFonts w:hint="default" w:ascii="Times New Roman" w:hAnsi="Times New Roman" w:eastAsia="宋体" w:cs="Times New Roman"/>
                <w:i w:val="0"/>
                <w:iCs w:val="0"/>
                <w:color w:val="auto"/>
                <w:sz w:val="22"/>
                <w:szCs w:val="22"/>
                <w:u w:val="none"/>
              </w:rPr>
            </w:pPr>
          </w:p>
        </w:tc>
        <w:tc>
          <w:tcPr>
            <w:tcW w:w="754" w:type="pct"/>
            <w:vMerge w:val="continue"/>
            <w:tcBorders>
              <w:tl2br w:val="nil"/>
              <w:tr2bl w:val="nil"/>
            </w:tcBorders>
            <w:shd w:val="clear" w:color="auto" w:fill="auto"/>
            <w:noWrap/>
            <w:vAlign w:val="center"/>
          </w:tcPr>
          <w:p w14:paraId="0EB70734">
            <w:pPr>
              <w:jc w:val="center"/>
              <w:rPr>
                <w:rFonts w:hint="default" w:ascii="Times New Roman" w:hAnsi="Times New Roman" w:eastAsia="宋体" w:cs="Times New Roman"/>
                <w:i w:val="0"/>
                <w:iCs w:val="0"/>
                <w:color w:val="auto"/>
                <w:sz w:val="22"/>
                <w:szCs w:val="22"/>
                <w:u w:val="none"/>
              </w:rPr>
            </w:pPr>
          </w:p>
        </w:tc>
        <w:tc>
          <w:tcPr>
            <w:tcW w:w="630" w:type="pct"/>
            <w:tcBorders>
              <w:tl2br w:val="nil"/>
              <w:tr2bl w:val="nil"/>
            </w:tcBorders>
            <w:shd w:val="clear" w:color="auto" w:fill="auto"/>
            <w:noWrap/>
            <w:vAlign w:val="center"/>
          </w:tcPr>
          <w:p w14:paraId="325642D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小计</w:t>
            </w:r>
          </w:p>
        </w:tc>
        <w:tc>
          <w:tcPr>
            <w:tcW w:w="703" w:type="pct"/>
            <w:tcBorders>
              <w:tl2br w:val="nil"/>
              <w:tr2bl w:val="nil"/>
            </w:tcBorders>
            <w:shd w:val="clear" w:color="auto" w:fill="auto"/>
            <w:noWrap/>
            <w:vAlign w:val="center"/>
          </w:tcPr>
          <w:p w14:paraId="6E29617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2108.74 </w:t>
            </w:r>
          </w:p>
        </w:tc>
        <w:tc>
          <w:tcPr>
            <w:tcW w:w="731" w:type="pct"/>
            <w:tcBorders>
              <w:tl2br w:val="nil"/>
              <w:tr2bl w:val="nil"/>
            </w:tcBorders>
            <w:shd w:val="clear" w:color="auto" w:fill="auto"/>
            <w:noWrap/>
            <w:vAlign w:val="center"/>
          </w:tcPr>
          <w:p w14:paraId="15AFBF2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708 </w:t>
            </w:r>
          </w:p>
        </w:tc>
        <w:tc>
          <w:tcPr>
            <w:tcW w:w="537" w:type="pct"/>
            <w:vMerge w:val="continue"/>
            <w:tcBorders>
              <w:tl2br w:val="nil"/>
              <w:tr2bl w:val="nil"/>
            </w:tcBorders>
            <w:shd w:val="clear" w:color="auto" w:fill="auto"/>
            <w:noWrap/>
            <w:vAlign w:val="center"/>
          </w:tcPr>
          <w:p w14:paraId="255E194C">
            <w:pPr>
              <w:jc w:val="center"/>
              <w:rPr>
                <w:rFonts w:hint="default" w:ascii="Times New Roman" w:hAnsi="Times New Roman" w:eastAsia="宋体" w:cs="Times New Roman"/>
                <w:i w:val="0"/>
                <w:iCs w:val="0"/>
                <w:color w:val="auto"/>
                <w:sz w:val="22"/>
                <w:szCs w:val="22"/>
                <w:u w:val="none"/>
              </w:rPr>
            </w:pPr>
          </w:p>
        </w:tc>
        <w:tc>
          <w:tcPr>
            <w:tcW w:w="558" w:type="pct"/>
            <w:vMerge w:val="continue"/>
            <w:tcBorders>
              <w:tl2br w:val="nil"/>
              <w:tr2bl w:val="nil"/>
            </w:tcBorders>
            <w:shd w:val="clear" w:color="auto" w:fill="auto"/>
            <w:noWrap/>
            <w:vAlign w:val="center"/>
          </w:tcPr>
          <w:p w14:paraId="635906EF">
            <w:pPr>
              <w:jc w:val="center"/>
              <w:rPr>
                <w:rFonts w:hint="default" w:ascii="Times New Roman" w:hAnsi="Times New Roman" w:eastAsia="宋体" w:cs="Times New Roman"/>
                <w:i w:val="0"/>
                <w:iCs w:val="0"/>
                <w:color w:val="auto"/>
                <w:sz w:val="22"/>
                <w:szCs w:val="22"/>
                <w:u w:val="none"/>
              </w:rPr>
            </w:pPr>
          </w:p>
        </w:tc>
        <w:tc>
          <w:tcPr>
            <w:tcW w:w="525" w:type="pct"/>
            <w:vMerge w:val="continue"/>
            <w:tcBorders>
              <w:tl2br w:val="nil"/>
              <w:tr2bl w:val="nil"/>
            </w:tcBorders>
            <w:shd w:val="clear" w:color="auto" w:fill="auto"/>
            <w:noWrap/>
            <w:vAlign w:val="center"/>
          </w:tcPr>
          <w:p w14:paraId="43840FCB">
            <w:pPr>
              <w:jc w:val="center"/>
              <w:rPr>
                <w:rFonts w:hint="default" w:ascii="Times New Roman" w:hAnsi="Times New Roman" w:eastAsia="宋体" w:cs="Times New Roman"/>
                <w:i w:val="0"/>
                <w:iCs w:val="0"/>
                <w:color w:val="auto"/>
                <w:sz w:val="22"/>
                <w:szCs w:val="22"/>
                <w:u w:val="none"/>
              </w:rPr>
            </w:pPr>
          </w:p>
        </w:tc>
      </w:tr>
      <w:tr w14:paraId="2F46370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558" w:type="pct"/>
            <w:vMerge w:val="continue"/>
            <w:tcBorders>
              <w:tl2br w:val="nil"/>
              <w:tr2bl w:val="nil"/>
            </w:tcBorders>
            <w:shd w:val="clear" w:color="auto" w:fill="auto"/>
            <w:noWrap/>
            <w:vAlign w:val="center"/>
          </w:tcPr>
          <w:p w14:paraId="486120AC">
            <w:pPr>
              <w:jc w:val="center"/>
              <w:rPr>
                <w:rFonts w:hint="default" w:ascii="Times New Roman" w:hAnsi="Times New Roman" w:eastAsia="宋体" w:cs="Times New Roman"/>
                <w:i w:val="0"/>
                <w:iCs w:val="0"/>
                <w:color w:val="auto"/>
                <w:sz w:val="22"/>
                <w:szCs w:val="22"/>
                <w:u w:val="none"/>
              </w:rPr>
            </w:pPr>
          </w:p>
        </w:tc>
        <w:tc>
          <w:tcPr>
            <w:tcW w:w="1385" w:type="pct"/>
            <w:gridSpan w:val="2"/>
            <w:tcBorders>
              <w:tl2br w:val="nil"/>
              <w:tr2bl w:val="nil"/>
            </w:tcBorders>
            <w:shd w:val="clear" w:color="auto" w:fill="auto"/>
            <w:noWrap/>
            <w:vAlign w:val="center"/>
          </w:tcPr>
          <w:p w14:paraId="0416447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703" w:type="pct"/>
            <w:tcBorders>
              <w:tl2br w:val="nil"/>
              <w:tr2bl w:val="nil"/>
            </w:tcBorders>
            <w:shd w:val="clear" w:color="auto" w:fill="auto"/>
            <w:noWrap/>
            <w:vAlign w:val="center"/>
          </w:tcPr>
          <w:p w14:paraId="40EABE1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15709.88 </w:t>
            </w:r>
          </w:p>
        </w:tc>
        <w:tc>
          <w:tcPr>
            <w:tcW w:w="731" w:type="pct"/>
            <w:tcBorders>
              <w:tl2br w:val="nil"/>
              <w:tr2bl w:val="nil"/>
            </w:tcBorders>
            <w:shd w:val="clear" w:color="auto" w:fill="auto"/>
            <w:noWrap/>
            <w:vAlign w:val="center"/>
          </w:tcPr>
          <w:p w14:paraId="403790D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448</w:t>
            </w:r>
            <w:r>
              <w:rPr>
                <w:rFonts w:hint="eastAsia" w:ascii="Times New Roman" w:hAnsi="Times New Roman" w:eastAsia="宋体" w:cs="Times New Roman"/>
                <w:i w:val="0"/>
                <w:iCs w:val="0"/>
                <w:color w:val="auto"/>
                <w:kern w:val="0"/>
                <w:sz w:val="22"/>
                <w:szCs w:val="22"/>
                <w:u w:val="none"/>
                <w:lang w:val="en-US" w:eastAsia="zh-CN" w:bidi="ar"/>
              </w:rPr>
              <w:t>3</w:t>
            </w:r>
          </w:p>
        </w:tc>
        <w:tc>
          <w:tcPr>
            <w:tcW w:w="537" w:type="pct"/>
            <w:tcBorders>
              <w:tl2br w:val="nil"/>
              <w:tr2bl w:val="nil"/>
            </w:tcBorders>
            <w:shd w:val="clear" w:color="auto" w:fill="auto"/>
            <w:noWrap/>
            <w:vAlign w:val="center"/>
          </w:tcPr>
          <w:p w14:paraId="66B3788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74.00 </w:t>
            </w:r>
          </w:p>
        </w:tc>
        <w:tc>
          <w:tcPr>
            <w:tcW w:w="558" w:type="pct"/>
            <w:tcBorders>
              <w:tl2br w:val="nil"/>
              <w:tr2bl w:val="nil"/>
            </w:tcBorders>
            <w:shd w:val="clear" w:color="auto" w:fill="auto"/>
            <w:noWrap/>
            <w:vAlign w:val="center"/>
          </w:tcPr>
          <w:p w14:paraId="04A017B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75.65 </w:t>
            </w:r>
          </w:p>
        </w:tc>
        <w:tc>
          <w:tcPr>
            <w:tcW w:w="525" w:type="pct"/>
            <w:tcBorders>
              <w:tl2br w:val="nil"/>
              <w:tr2bl w:val="nil"/>
            </w:tcBorders>
            <w:shd w:val="clear" w:color="auto" w:fill="auto"/>
            <w:noWrap/>
            <w:vAlign w:val="center"/>
          </w:tcPr>
          <w:p w14:paraId="0D8EAC5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1.65 </w:t>
            </w:r>
          </w:p>
        </w:tc>
      </w:tr>
      <w:tr w14:paraId="5A9AEF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943" w:type="pct"/>
            <w:gridSpan w:val="3"/>
            <w:tcBorders>
              <w:tl2br w:val="nil"/>
              <w:tr2bl w:val="nil"/>
            </w:tcBorders>
            <w:shd w:val="clear" w:color="auto" w:fill="auto"/>
            <w:noWrap/>
            <w:vAlign w:val="center"/>
          </w:tcPr>
          <w:p w14:paraId="3B1D7C1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总计</w:t>
            </w:r>
          </w:p>
        </w:tc>
        <w:tc>
          <w:tcPr>
            <w:tcW w:w="703" w:type="pct"/>
            <w:tcBorders>
              <w:tl2br w:val="nil"/>
              <w:tr2bl w:val="nil"/>
            </w:tcBorders>
            <w:shd w:val="clear" w:color="auto" w:fill="auto"/>
            <w:noWrap/>
            <w:vAlign w:val="center"/>
          </w:tcPr>
          <w:p w14:paraId="6253C78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47008.20 </w:t>
            </w:r>
          </w:p>
        </w:tc>
        <w:tc>
          <w:tcPr>
            <w:tcW w:w="731" w:type="pct"/>
            <w:tcBorders>
              <w:tl2br w:val="nil"/>
              <w:tr2bl w:val="nil"/>
            </w:tcBorders>
            <w:shd w:val="clear" w:color="auto" w:fill="auto"/>
            <w:noWrap/>
            <w:vAlign w:val="center"/>
          </w:tcPr>
          <w:p w14:paraId="278181D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14900 </w:t>
            </w:r>
          </w:p>
        </w:tc>
        <w:tc>
          <w:tcPr>
            <w:tcW w:w="537" w:type="pct"/>
            <w:tcBorders>
              <w:tl2br w:val="nil"/>
              <w:tr2bl w:val="nil"/>
            </w:tcBorders>
            <w:shd w:val="clear" w:color="auto" w:fill="auto"/>
            <w:noWrap/>
            <w:vAlign w:val="center"/>
          </w:tcPr>
          <w:p w14:paraId="018453C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73.32 </w:t>
            </w:r>
          </w:p>
        </w:tc>
        <w:tc>
          <w:tcPr>
            <w:tcW w:w="558" w:type="pct"/>
            <w:tcBorders>
              <w:tl2br w:val="nil"/>
              <w:tr2bl w:val="nil"/>
            </w:tcBorders>
            <w:shd w:val="clear" w:color="auto" w:fill="auto"/>
            <w:noWrap/>
            <w:vAlign w:val="center"/>
          </w:tcPr>
          <w:p w14:paraId="77959DF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75.05 </w:t>
            </w:r>
          </w:p>
        </w:tc>
        <w:tc>
          <w:tcPr>
            <w:tcW w:w="525" w:type="pct"/>
            <w:tcBorders>
              <w:tl2br w:val="nil"/>
              <w:tr2bl w:val="nil"/>
            </w:tcBorders>
            <w:shd w:val="clear" w:color="auto" w:fill="auto"/>
            <w:noWrap/>
            <w:vAlign w:val="center"/>
          </w:tcPr>
          <w:p w14:paraId="0BCFAD8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1.73 </w:t>
            </w:r>
          </w:p>
        </w:tc>
      </w:tr>
    </w:tbl>
    <w:p w14:paraId="3A918109">
      <w:pPr>
        <w:pStyle w:val="18"/>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b/>
          <w:bCs/>
          <w:color w:val="auto"/>
          <w:sz w:val="28"/>
          <w:szCs w:val="28"/>
          <w:lang w:eastAsia="zh-CN"/>
        </w:rPr>
      </w:pPr>
    </w:p>
    <w:p w14:paraId="5856D678">
      <w:pPr>
        <w:pStyle w:val="18"/>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省管河流水土流失治理任务分解表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25"/>
        <w:gridCol w:w="1154"/>
        <w:gridCol w:w="1169"/>
        <w:gridCol w:w="1169"/>
        <w:gridCol w:w="1215"/>
        <w:gridCol w:w="1137"/>
        <w:gridCol w:w="1150"/>
      </w:tblGrid>
      <w:tr w14:paraId="7DFB8CC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blHeader/>
        </w:trPr>
        <w:tc>
          <w:tcPr>
            <w:tcW w:w="895" w:type="pct"/>
            <w:vMerge w:val="restart"/>
            <w:tcBorders>
              <w:tl2br w:val="nil"/>
              <w:tr2bl w:val="nil"/>
            </w:tcBorders>
            <w:shd w:val="clear" w:color="auto" w:fill="auto"/>
            <w:noWrap/>
            <w:vAlign w:val="center"/>
          </w:tcPr>
          <w:p w14:paraId="179B0CB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水系</w:t>
            </w:r>
          </w:p>
        </w:tc>
        <w:tc>
          <w:tcPr>
            <w:tcW w:w="2049" w:type="pct"/>
            <w:gridSpan w:val="3"/>
            <w:tcBorders>
              <w:tl2br w:val="nil"/>
              <w:tr2bl w:val="nil"/>
            </w:tcBorders>
            <w:shd w:val="clear" w:color="auto" w:fill="auto"/>
            <w:noWrap/>
            <w:vAlign w:val="center"/>
          </w:tcPr>
          <w:p w14:paraId="422ACCF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水土流失面积（km²）</w:t>
            </w:r>
          </w:p>
        </w:tc>
        <w:tc>
          <w:tcPr>
            <w:tcW w:w="2055" w:type="pct"/>
            <w:gridSpan w:val="3"/>
            <w:tcBorders>
              <w:tl2br w:val="nil"/>
              <w:tr2bl w:val="nil"/>
            </w:tcBorders>
            <w:shd w:val="clear" w:color="auto" w:fill="auto"/>
            <w:noWrap/>
            <w:vAlign w:val="center"/>
          </w:tcPr>
          <w:p w14:paraId="4CEEED6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水土保持率（%）</w:t>
            </w:r>
          </w:p>
        </w:tc>
      </w:tr>
      <w:tr w14:paraId="1825732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blHeader/>
        </w:trPr>
        <w:tc>
          <w:tcPr>
            <w:tcW w:w="895" w:type="pct"/>
            <w:vMerge w:val="continue"/>
            <w:tcBorders>
              <w:tl2br w:val="nil"/>
              <w:tr2bl w:val="nil"/>
            </w:tcBorders>
            <w:shd w:val="clear" w:color="auto" w:fill="auto"/>
            <w:noWrap/>
            <w:vAlign w:val="center"/>
          </w:tcPr>
          <w:p w14:paraId="3490A248">
            <w:pPr>
              <w:jc w:val="center"/>
              <w:rPr>
                <w:rFonts w:hint="default" w:ascii="Times New Roman" w:hAnsi="Times New Roman" w:eastAsia="宋体" w:cs="Times New Roman"/>
                <w:b/>
                <w:bCs/>
                <w:i w:val="0"/>
                <w:iCs w:val="0"/>
                <w:color w:val="auto"/>
                <w:sz w:val="22"/>
                <w:szCs w:val="22"/>
                <w:u w:val="none"/>
              </w:rPr>
            </w:pPr>
          </w:p>
        </w:tc>
        <w:tc>
          <w:tcPr>
            <w:tcW w:w="677" w:type="pct"/>
            <w:tcBorders>
              <w:tl2br w:val="nil"/>
              <w:tr2bl w:val="nil"/>
            </w:tcBorders>
            <w:shd w:val="clear" w:color="auto" w:fill="auto"/>
            <w:noWrap/>
            <w:vAlign w:val="center"/>
          </w:tcPr>
          <w:p w14:paraId="52C1F9C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市（州）</w:t>
            </w:r>
          </w:p>
        </w:tc>
        <w:tc>
          <w:tcPr>
            <w:tcW w:w="686" w:type="pct"/>
            <w:tcBorders>
              <w:tl2br w:val="nil"/>
              <w:tr2bl w:val="nil"/>
            </w:tcBorders>
            <w:shd w:val="clear" w:color="auto" w:fill="auto"/>
            <w:noWrap/>
            <w:vAlign w:val="center"/>
          </w:tcPr>
          <w:p w14:paraId="78F413F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w:t>
            </w:r>
          </w:p>
        </w:tc>
        <w:tc>
          <w:tcPr>
            <w:tcW w:w="686" w:type="pct"/>
            <w:tcBorders>
              <w:tl2br w:val="nil"/>
              <w:tr2bl w:val="nil"/>
            </w:tcBorders>
            <w:shd w:val="clear" w:color="auto" w:fill="auto"/>
            <w:noWrap/>
            <w:vAlign w:val="center"/>
          </w:tcPr>
          <w:p w14:paraId="3CAFCEE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治理面积</w:t>
            </w:r>
          </w:p>
        </w:tc>
        <w:tc>
          <w:tcPr>
            <w:tcW w:w="713" w:type="pct"/>
            <w:tcBorders>
              <w:tl2br w:val="nil"/>
              <w:tr2bl w:val="nil"/>
            </w:tcBorders>
            <w:shd w:val="clear" w:color="auto" w:fill="auto"/>
            <w:noWrap/>
            <w:vAlign w:val="center"/>
          </w:tcPr>
          <w:p w14:paraId="1468CA3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2020年</w:t>
            </w:r>
          </w:p>
        </w:tc>
        <w:tc>
          <w:tcPr>
            <w:tcW w:w="667" w:type="pct"/>
            <w:tcBorders>
              <w:tl2br w:val="nil"/>
              <w:tr2bl w:val="nil"/>
            </w:tcBorders>
            <w:shd w:val="clear" w:color="auto" w:fill="auto"/>
            <w:noWrap/>
            <w:vAlign w:val="center"/>
          </w:tcPr>
          <w:p w14:paraId="2DF1DB0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2025年</w:t>
            </w:r>
          </w:p>
        </w:tc>
        <w:tc>
          <w:tcPr>
            <w:tcW w:w="674" w:type="pct"/>
            <w:tcBorders>
              <w:tl2br w:val="nil"/>
              <w:tr2bl w:val="nil"/>
            </w:tcBorders>
            <w:shd w:val="clear" w:color="auto" w:fill="auto"/>
            <w:noWrap/>
            <w:vAlign w:val="center"/>
          </w:tcPr>
          <w:p w14:paraId="1F4E190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提高值</w:t>
            </w:r>
          </w:p>
        </w:tc>
      </w:tr>
      <w:tr w14:paraId="13C53BB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0F1F337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乌都河</w:t>
            </w:r>
          </w:p>
        </w:tc>
        <w:tc>
          <w:tcPr>
            <w:tcW w:w="677" w:type="pct"/>
            <w:tcBorders>
              <w:tl2br w:val="nil"/>
              <w:tr2bl w:val="nil"/>
            </w:tcBorders>
            <w:shd w:val="clear" w:color="auto" w:fill="auto"/>
            <w:noWrap/>
            <w:vAlign w:val="center"/>
          </w:tcPr>
          <w:p w14:paraId="6AE8C57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14:paraId="395175F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679.99 </w:t>
            </w:r>
          </w:p>
        </w:tc>
        <w:tc>
          <w:tcPr>
            <w:tcW w:w="686" w:type="pct"/>
            <w:tcBorders>
              <w:tl2br w:val="nil"/>
              <w:tr2bl w:val="nil"/>
            </w:tcBorders>
            <w:shd w:val="clear" w:color="auto" w:fill="auto"/>
            <w:noWrap/>
            <w:vAlign w:val="center"/>
          </w:tcPr>
          <w:p w14:paraId="06739A1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109.05 </w:t>
            </w:r>
          </w:p>
        </w:tc>
        <w:tc>
          <w:tcPr>
            <w:tcW w:w="713" w:type="pct"/>
            <w:vMerge w:val="restart"/>
            <w:tcBorders>
              <w:tl2br w:val="nil"/>
              <w:tr2bl w:val="nil"/>
            </w:tcBorders>
            <w:shd w:val="clear" w:color="auto" w:fill="auto"/>
            <w:noWrap/>
            <w:vAlign w:val="center"/>
          </w:tcPr>
          <w:p w14:paraId="36CB2EF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60.58 </w:t>
            </w:r>
          </w:p>
        </w:tc>
        <w:tc>
          <w:tcPr>
            <w:tcW w:w="667" w:type="pct"/>
            <w:vMerge w:val="restart"/>
            <w:tcBorders>
              <w:tl2br w:val="nil"/>
              <w:tr2bl w:val="nil"/>
            </w:tcBorders>
            <w:shd w:val="clear" w:color="auto" w:fill="auto"/>
            <w:noWrap/>
            <w:vAlign w:val="center"/>
          </w:tcPr>
          <w:p w14:paraId="7F82167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62.65 </w:t>
            </w:r>
          </w:p>
        </w:tc>
        <w:tc>
          <w:tcPr>
            <w:tcW w:w="674" w:type="pct"/>
            <w:vMerge w:val="restart"/>
            <w:tcBorders>
              <w:tl2br w:val="nil"/>
              <w:tr2bl w:val="nil"/>
            </w:tcBorders>
            <w:shd w:val="clear" w:color="auto" w:fill="auto"/>
            <w:noWrap/>
            <w:vAlign w:val="center"/>
          </w:tcPr>
          <w:p w14:paraId="336073B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2.07 </w:t>
            </w:r>
          </w:p>
        </w:tc>
      </w:tr>
      <w:tr w14:paraId="288C06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51C0CC14">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7B60AF7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14:paraId="0489386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107.17 </w:t>
            </w:r>
          </w:p>
        </w:tc>
        <w:tc>
          <w:tcPr>
            <w:tcW w:w="686" w:type="pct"/>
            <w:tcBorders>
              <w:tl2br w:val="nil"/>
              <w:tr2bl w:val="nil"/>
            </w:tcBorders>
            <w:shd w:val="clear" w:color="auto" w:fill="auto"/>
            <w:noWrap/>
            <w:vAlign w:val="center"/>
          </w:tcPr>
          <w:p w14:paraId="10BCB92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25.88 </w:t>
            </w:r>
          </w:p>
        </w:tc>
        <w:tc>
          <w:tcPr>
            <w:tcW w:w="713" w:type="pct"/>
            <w:vMerge w:val="continue"/>
            <w:tcBorders>
              <w:tl2br w:val="nil"/>
              <w:tr2bl w:val="nil"/>
            </w:tcBorders>
            <w:shd w:val="clear" w:color="auto" w:fill="auto"/>
            <w:noWrap/>
            <w:vAlign w:val="center"/>
          </w:tcPr>
          <w:p w14:paraId="578172BD">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14EFC28C">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611BD179">
            <w:pPr>
              <w:jc w:val="center"/>
              <w:rPr>
                <w:rFonts w:hint="default" w:ascii="Times New Roman" w:hAnsi="Times New Roman" w:eastAsia="宋体" w:cs="Times New Roman"/>
                <w:i w:val="0"/>
                <w:iCs w:val="0"/>
                <w:color w:val="auto"/>
                <w:sz w:val="22"/>
                <w:szCs w:val="22"/>
                <w:u w:val="none"/>
              </w:rPr>
            </w:pPr>
          </w:p>
        </w:tc>
      </w:tr>
      <w:tr w14:paraId="292485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7E7738B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南盘江</w:t>
            </w:r>
          </w:p>
        </w:tc>
        <w:tc>
          <w:tcPr>
            <w:tcW w:w="677" w:type="pct"/>
            <w:tcBorders>
              <w:tl2br w:val="nil"/>
              <w:tr2bl w:val="nil"/>
            </w:tcBorders>
            <w:shd w:val="clear" w:color="auto" w:fill="auto"/>
            <w:noWrap/>
            <w:vAlign w:val="center"/>
          </w:tcPr>
          <w:p w14:paraId="03F3E75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14:paraId="46796DF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493.54 </w:t>
            </w:r>
          </w:p>
        </w:tc>
        <w:tc>
          <w:tcPr>
            <w:tcW w:w="686" w:type="pct"/>
            <w:tcBorders>
              <w:tl2br w:val="nil"/>
              <w:tr2bl w:val="nil"/>
            </w:tcBorders>
            <w:shd w:val="clear" w:color="auto" w:fill="auto"/>
            <w:noWrap/>
            <w:vAlign w:val="center"/>
          </w:tcPr>
          <w:p w14:paraId="3573FD6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119.16 </w:t>
            </w:r>
          </w:p>
        </w:tc>
        <w:tc>
          <w:tcPr>
            <w:tcW w:w="713" w:type="pct"/>
            <w:vMerge w:val="restart"/>
            <w:tcBorders>
              <w:tl2br w:val="nil"/>
              <w:tr2bl w:val="nil"/>
            </w:tcBorders>
            <w:shd w:val="clear" w:color="auto" w:fill="auto"/>
            <w:noWrap/>
            <w:vAlign w:val="center"/>
          </w:tcPr>
          <w:p w14:paraId="1C7DE12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71.12 </w:t>
            </w:r>
          </w:p>
        </w:tc>
        <w:tc>
          <w:tcPr>
            <w:tcW w:w="667" w:type="pct"/>
            <w:vMerge w:val="restart"/>
            <w:tcBorders>
              <w:tl2br w:val="nil"/>
              <w:tr2bl w:val="nil"/>
            </w:tcBorders>
            <w:shd w:val="clear" w:color="auto" w:fill="auto"/>
            <w:noWrap/>
            <w:vAlign w:val="center"/>
          </w:tcPr>
          <w:p w14:paraId="6FDF8C2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72.42 </w:t>
            </w:r>
          </w:p>
        </w:tc>
        <w:tc>
          <w:tcPr>
            <w:tcW w:w="674" w:type="pct"/>
            <w:vMerge w:val="restart"/>
            <w:tcBorders>
              <w:tl2br w:val="nil"/>
              <w:tr2bl w:val="nil"/>
            </w:tcBorders>
            <w:shd w:val="clear" w:color="auto" w:fill="auto"/>
            <w:noWrap/>
            <w:vAlign w:val="center"/>
          </w:tcPr>
          <w:p w14:paraId="3218534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1.30 </w:t>
            </w:r>
          </w:p>
        </w:tc>
      </w:tr>
      <w:tr w14:paraId="556CEAF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1C093CAD">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042174A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14:paraId="3609BF1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1716.29 </w:t>
            </w:r>
          </w:p>
        </w:tc>
        <w:tc>
          <w:tcPr>
            <w:tcW w:w="686" w:type="pct"/>
            <w:tcBorders>
              <w:tl2br w:val="nil"/>
              <w:tr2bl w:val="nil"/>
            </w:tcBorders>
            <w:shd w:val="clear" w:color="auto" w:fill="auto"/>
            <w:noWrap/>
            <w:vAlign w:val="center"/>
          </w:tcPr>
          <w:p w14:paraId="464E570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581.47 </w:t>
            </w:r>
          </w:p>
        </w:tc>
        <w:tc>
          <w:tcPr>
            <w:tcW w:w="713" w:type="pct"/>
            <w:vMerge w:val="continue"/>
            <w:tcBorders>
              <w:tl2br w:val="nil"/>
              <w:tr2bl w:val="nil"/>
            </w:tcBorders>
            <w:shd w:val="clear" w:color="auto" w:fill="auto"/>
            <w:noWrap/>
            <w:vAlign w:val="center"/>
          </w:tcPr>
          <w:p w14:paraId="412B4CF9">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42DB1108">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6CB20666">
            <w:pPr>
              <w:jc w:val="center"/>
              <w:rPr>
                <w:rFonts w:hint="default" w:ascii="Times New Roman" w:hAnsi="Times New Roman" w:eastAsia="宋体" w:cs="Times New Roman"/>
                <w:i w:val="0"/>
                <w:iCs w:val="0"/>
                <w:color w:val="auto"/>
                <w:sz w:val="22"/>
                <w:szCs w:val="22"/>
                <w:u w:val="none"/>
              </w:rPr>
            </w:pPr>
          </w:p>
        </w:tc>
      </w:tr>
      <w:tr w14:paraId="1707172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522947D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蒙江</w:t>
            </w:r>
          </w:p>
        </w:tc>
        <w:tc>
          <w:tcPr>
            <w:tcW w:w="677" w:type="pct"/>
            <w:tcBorders>
              <w:tl2br w:val="nil"/>
              <w:tr2bl w:val="nil"/>
            </w:tcBorders>
            <w:shd w:val="clear" w:color="auto" w:fill="auto"/>
            <w:noWrap/>
            <w:vAlign w:val="center"/>
          </w:tcPr>
          <w:p w14:paraId="7163CC9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86" w:type="pct"/>
            <w:tcBorders>
              <w:tl2br w:val="nil"/>
              <w:tr2bl w:val="nil"/>
            </w:tcBorders>
            <w:shd w:val="clear" w:color="auto" w:fill="auto"/>
            <w:noWrap/>
            <w:vAlign w:val="center"/>
          </w:tcPr>
          <w:p w14:paraId="1953565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35.48 </w:t>
            </w:r>
          </w:p>
        </w:tc>
        <w:tc>
          <w:tcPr>
            <w:tcW w:w="686" w:type="pct"/>
            <w:tcBorders>
              <w:tl2br w:val="nil"/>
              <w:tr2bl w:val="nil"/>
            </w:tcBorders>
            <w:shd w:val="clear" w:color="auto" w:fill="auto"/>
            <w:noWrap/>
            <w:vAlign w:val="center"/>
          </w:tcPr>
          <w:p w14:paraId="638392E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8.57 </w:t>
            </w:r>
          </w:p>
        </w:tc>
        <w:tc>
          <w:tcPr>
            <w:tcW w:w="713" w:type="pct"/>
            <w:vMerge w:val="restart"/>
            <w:tcBorders>
              <w:tl2br w:val="nil"/>
              <w:tr2bl w:val="nil"/>
            </w:tcBorders>
            <w:shd w:val="clear" w:color="auto" w:fill="auto"/>
            <w:noWrap/>
            <w:vAlign w:val="center"/>
          </w:tcPr>
          <w:p w14:paraId="5291047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73.00 </w:t>
            </w:r>
          </w:p>
        </w:tc>
        <w:tc>
          <w:tcPr>
            <w:tcW w:w="667" w:type="pct"/>
            <w:vMerge w:val="restart"/>
            <w:tcBorders>
              <w:tl2br w:val="nil"/>
              <w:tr2bl w:val="nil"/>
            </w:tcBorders>
            <w:shd w:val="clear" w:color="auto" w:fill="auto"/>
            <w:noWrap/>
            <w:vAlign w:val="center"/>
          </w:tcPr>
          <w:p w14:paraId="14F6CB5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73.81 </w:t>
            </w:r>
          </w:p>
        </w:tc>
        <w:tc>
          <w:tcPr>
            <w:tcW w:w="674" w:type="pct"/>
            <w:vMerge w:val="restart"/>
            <w:tcBorders>
              <w:tl2br w:val="nil"/>
              <w:tr2bl w:val="nil"/>
            </w:tcBorders>
            <w:shd w:val="clear" w:color="auto" w:fill="auto"/>
            <w:noWrap/>
            <w:vAlign w:val="center"/>
          </w:tcPr>
          <w:p w14:paraId="7E9069B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0.81 </w:t>
            </w:r>
          </w:p>
        </w:tc>
      </w:tr>
      <w:tr w14:paraId="495B58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31FDF4D2">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6F96CB9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14:paraId="53544A6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1839.70 </w:t>
            </w:r>
          </w:p>
        </w:tc>
        <w:tc>
          <w:tcPr>
            <w:tcW w:w="686" w:type="pct"/>
            <w:tcBorders>
              <w:tl2br w:val="nil"/>
              <w:tr2bl w:val="nil"/>
            </w:tcBorders>
            <w:shd w:val="clear" w:color="auto" w:fill="auto"/>
            <w:noWrap/>
            <w:vAlign w:val="center"/>
          </w:tcPr>
          <w:p w14:paraId="2024C13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347.05 </w:t>
            </w:r>
          </w:p>
        </w:tc>
        <w:tc>
          <w:tcPr>
            <w:tcW w:w="713" w:type="pct"/>
            <w:vMerge w:val="continue"/>
            <w:tcBorders>
              <w:tl2br w:val="nil"/>
              <w:tr2bl w:val="nil"/>
            </w:tcBorders>
            <w:shd w:val="clear" w:color="auto" w:fill="auto"/>
            <w:noWrap/>
            <w:vAlign w:val="center"/>
          </w:tcPr>
          <w:p w14:paraId="528F8010">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7DAE3CC9">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0A181798">
            <w:pPr>
              <w:jc w:val="center"/>
              <w:rPr>
                <w:rFonts w:hint="default" w:ascii="Times New Roman" w:hAnsi="Times New Roman" w:eastAsia="宋体" w:cs="Times New Roman"/>
                <w:i w:val="0"/>
                <w:iCs w:val="0"/>
                <w:color w:val="auto"/>
                <w:sz w:val="22"/>
                <w:szCs w:val="22"/>
                <w:u w:val="none"/>
              </w:rPr>
            </w:pPr>
          </w:p>
        </w:tc>
      </w:tr>
      <w:tr w14:paraId="1FD0210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62A7B6C2">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39F67A9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86" w:type="pct"/>
            <w:tcBorders>
              <w:tl2br w:val="nil"/>
              <w:tr2bl w:val="nil"/>
            </w:tcBorders>
            <w:shd w:val="clear" w:color="auto" w:fill="auto"/>
            <w:noWrap/>
            <w:vAlign w:val="center"/>
          </w:tcPr>
          <w:p w14:paraId="2D033AA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487.88 </w:t>
            </w:r>
          </w:p>
        </w:tc>
        <w:tc>
          <w:tcPr>
            <w:tcW w:w="686" w:type="pct"/>
            <w:tcBorders>
              <w:tl2br w:val="nil"/>
              <w:tr2bl w:val="nil"/>
            </w:tcBorders>
            <w:shd w:val="clear" w:color="auto" w:fill="auto"/>
            <w:noWrap/>
            <w:vAlign w:val="center"/>
          </w:tcPr>
          <w:p w14:paraId="5D32495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77.79 </w:t>
            </w:r>
          </w:p>
        </w:tc>
        <w:tc>
          <w:tcPr>
            <w:tcW w:w="713" w:type="pct"/>
            <w:vMerge w:val="continue"/>
            <w:tcBorders>
              <w:tl2br w:val="nil"/>
              <w:tr2bl w:val="nil"/>
            </w:tcBorders>
            <w:shd w:val="clear" w:color="auto" w:fill="auto"/>
            <w:noWrap/>
            <w:vAlign w:val="center"/>
          </w:tcPr>
          <w:p w14:paraId="4141DC1D">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243A5637">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4AF09A4B">
            <w:pPr>
              <w:jc w:val="center"/>
              <w:rPr>
                <w:rFonts w:hint="default" w:ascii="Times New Roman" w:hAnsi="Times New Roman" w:eastAsia="宋体" w:cs="Times New Roman"/>
                <w:i w:val="0"/>
                <w:iCs w:val="0"/>
                <w:color w:val="auto"/>
                <w:sz w:val="22"/>
                <w:szCs w:val="22"/>
                <w:u w:val="none"/>
              </w:rPr>
            </w:pPr>
          </w:p>
        </w:tc>
      </w:tr>
      <w:tr w14:paraId="257C2CC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7835A20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翁安河</w:t>
            </w:r>
          </w:p>
        </w:tc>
        <w:tc>
          <w:tcPr>
            <w:tcW w:w="677" w:type="pct"/>
            <w:tcBorders>
              <w:tl2br w:val="nil"/>
              <w:tr2bl w:val="nil"/>
            </w:tcBorders>
            <w:shd w:val="clear" w:color="auto" w:fill="auto"/>
            <w:noWrap/>
            <w:vAlign w:val="center"/>
          </w:tcPr>
          <w:p w14:paraId="489F4DF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14:paraId="0377B51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166.36 </w:t>
            </w:r>
          </w:p>
        </w:tc>
        <w:tc>
          <w:tcPr>
            <w:tcW w:w="686" w:type="pct"/>
            <w:tcBorders>
              <w:tl2br w:val="nil"/>
              <w:tr2bl w:val="nil"/>
            </w:tcBorders>
            <w:shd w:val="clear" w:color="auto" w:fill="auto"/>
            <w:noWrap/>
            <w:vAlign w:val="center"/>
          </w:tcPr>
          <w:p w14:paraId="2C9C038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40.17 </w:t>
            </w:r>
          </w:p>
        </w:tc>
        <w:tc>
          <w:tcPr>
            <w:tcW w:w="713" w:type="pct"/>
            <w:vMerge w:val="restart"/>
            <w:tcBorders>
              <w:tl2br w:val="nil"/>
              <w:tr2bl w:val="nil"/>
            </w:tcBorders>
            <w:shd w:val="clear" w:color="auto" w:fill="auto"/>
            <w:noWrap/>
            <w:vAlign w:val="center"/>
          </w:tcPr>
          <w:p w14:paraId="45DDC98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79.75 </w:t>
            </w:r>
          </w:p>
        </w:tc>
        <w:tc>
          <w:tcPr>
            <w:tcW w:w="667" w:type="pct"/>
            <w:vMerge w:val="restart"/>
            <w:tcBorders>
              <w:tl2br w:val="nil"/>
              <w:tr2bl w:val="nil"/>
            </w:tcBorders>
            <w:shd w:val="clear" w:color="auto" w:fill="auto"/>
            <w:noWrap/>
            <w:vAlign w:val="center"/>
          </w:tcPr>
          <w:p w14:paraId="2E4E96D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82.56 </w:t>
            </w:r>
          </w:p>
        </w:tc>
        <w:tc>
          <w:tcPr>
            <w:tcW w:w="674" w:type="pct"/>
            <w:vMerge w:val="restart"/>
            <w:tcBorders>
              <w:tl2br w:val="nil"/>
              <w:tr2bl w:val="nil"/>
            </w:tcBorders>
            <w:shd w:val="clear" w:color="auto" w:fill="auto"/>
            <w:noWrap/>
            <w:vAlign w:val="center"/>
          </w:tcPr>
          <w:p w14:paraId="3D751B4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2.81 </w:t>
            </w:r>
          </w:p>
        </w:tc>
      </w:tr>
      <w:tr w14:paraId="7372542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0898F451">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37E5DFB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86" w:type="pct"/>
            <w:tcBorders>
              <w:tl2br w:val="nil"/>
              <w:tr2bl w:val="nil"/>
            </w:tcBorders>
            <w:shd w:val="clear" w:color="auto" w:fill="auto"/>
            <w:noWrap/>
            <w:vAlign w:val="center"/>
          </w:tcPr>
          <w:p w14:paraId="49BB281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8.63 </w:t>
            </w:r>
          </w:p>
        </w:tc>
        <w:tc>
          <w:tcPr>
            <w:tcW w:w="686" w:type="pct"/>
            <w:tcBorders>
              <w:tl2br w:val="nil"/>
              <w:tr2bl w:val="nil"/>
            </w:tcBorders>
            <w:shd w:val="clear" w:color="auto" w:fill="auto"/>
            <w:noWrap/>
            <w:vAlign w:val="center"/>
          </w:tcPr>
          <w:p w14:paraId="5243379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2.08 </w:t>
            </w:r>
          </w:p>
        </w:tc>
        <w:tc>
          <w:tcPr>
            <w:tcW w:w="713" w:type="pct"/>
            <w:vMerge w:val="continue"/>
            <w:tcBorders>
              <w:tl2br w:val="nil"/>
              <w:tr2bl w:val="nil"/>
            </w:tcBorders>
            <w:shd w:val="clear" w:color="auto" w:fill="auto"/>
            <w:noWrap/>
            <w:vAlign w:val="center"/>
          </w:tcPr>
          <w:p w14:paraId="1FADF63C">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2D6AB011">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59A75A0B">
            <w:pPr>
              <w:jc w:val="center"/>
              <w:rPr>
                <w:rFonts w:hint="default" w:ascii="Times New Roman" w:hAnsi="Times New Roman" w:eastAsia="宋体" w:cs="Times New Roman"/>
                <w:i w:val="0"/>
                <w:iCs w:val="0"/>
                <w:color w:val="auto"/>
                <w:sz w:val="22"/>
                <w:szCs w:val="22"/>
                <w:u w:val="none"/>
              </w:rPr>
            </w:pPr>
          </w:p>
        </w:tc>
      </w:tr>
      <w:tr w14:paraId="0F5DA5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tcBorders>
              <w:tl2br w:val="nil"/>
              <w:tr2bl w:val="nil"/>
            </w:tcBorders>
            <w:shd w:val="clear" w:color="auto" w:fill="auto"/>
            <w:noWrap/>
            <w:vAlign w:val="center"/>
          </w:tcPr>
          <w:p w14:paraId="3C1375C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芙蓉江</w:t>
            </w:r>
          </w:p>
        </w:tc>
        <w:tc>
          <w:tcPr>
            <w:tcW w:w="677" w:type="pct"/>
            <w:tcBorders>
              <w:tl2br w:val="nil"/>
              <w:tr2bl w:val="nil"/>
            </w:tcBorders>
            <w:shd w:val="clear" w:color="auto" w:fill="auto"/>
            <w:noWrap/>
            <w:vAlign w:val="center"/>
          </w:tcPr>
          <w:p w14:paraId="691A4BB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86" w:type="pct"/>
            <w:tcBorders>
              <w:tl2br w:val="nil"/>
              <w:tr2bl w:val="nil"/>
            </w:tcBorders>
            <w:shd w:val="clear" w:color="auto" w:fill="auto"/>
            <w:noWrap/>
            <w:vAlign w:val="center"/>
          </w:tcPr>
          <w:p w14:paraId="51754B4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2080.63 </w:t>
            </w:r>
          </w:p>
        </w:tc>
        <w:tc>
          <w:tcPr>
            <w:tcW w:w="686" w:type="pct"/>
            <w:tcBorders>
              <w:tl2br w:val="nil"/>
              <w:tr2bl w:val="nil"/>
            </w:tcBorders>
            <w:shd w:val="clear" w:color="auto" w:fill="auto"/>
            <w:noWrap/>
            <w:vAlign w:val="center"/>
          </w:tcPr>
          <w:p w14:paraId="3177EB5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502.35 </w:t>
            </w:r>
          </w:p>
        </w:tc>
        <w:tc>
          <w:tcPr>
            <w:tcW w:w="713" w:type="pct"/>
            <w:tcBorders>
              <w:tl2br w:val="nil"/>
              <w:tr2bl w:val="nil"/>
            </w:tcBorders>
            <w:shd w:val="clear" w:color="auto" w:fill="auto"/>
            <w:noWrap/>
            <w:vAlign w:val="center"/>
          </w:tcPr>
          <w:p w14:paraId="1BBBC0D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69.82 </w:t>
            </w:r>
          </w:p>
        </w:tc>
        <w:tc>
          <w:tcPr>
            <w:tcW w:w="667" w:type="pct"/>
            <w:tcBorders>
              <w:tl2br w:val="nil"/>
              <w:tr2bl w:val="nil"/>
            </w:tcBorders>
            <w:shd w:val="clear" w:color="auto" w:fill="auto"/>
            <w:noWrap/>
            <w:vAlign w:val="center"/>
          </w:tcPr>
          <w:p w14:paraId="211DF01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72.27 </w:t>
            </w:r>
          </w:p>
        </w:tc>
        <w:tc>
          <w:tcPr>
            <w:tcW w:w="674" w:type="pct"/>
            <w:tcBorders>
              <w:tl2br w:val="nil"/>
              <w:tr2bl w:val="nil"/>
            </w:tcBorders>
            <w:shd w:val="clear" w:color="auto" w:fill="auto"/>
            <w:noWrap/>
            <w:vAlign w:val="center"/>
          </w:tcPr>
          <w:p w14:paraId="1BD310C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2.45 </w:t>
            </w:r>
          </w:p>
        </w:tc>
      </w:tr>
      <w:tr w14:paraId="15AD4E3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67D679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红水河</w:t>
            </w:r>
          </w:p>
        </w:tc>
        <w:tc>
          <w:tcPr>
            <w:tcW w:w="677" w:type="pct"/>
            <w:tcBorders>
              <w:tl2br w:val="nil"/>
              <w:tr2bl w:val="nil"/>
            </w:tcBorders>
            <w:shd w:val="clear" w:color="auto" w:fill="auto"/>
            <w:noWrap/>
            <w:vAlign w:val="center"/>
          </w:tcPr>
          <w:p w14:paraId="5442EB7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14:paraId="0E644C2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512.41 </w:t>
            </w:r>
          </w:p>
        </w:tc>
        <w:tc>
          <w:tcPr>
            <w:tcW w:w="686" w:type="pct"/>
            <w:tcBorders>
              <w:tl2br w:val="nil"/>
              <w:tr2bl w:val="nil"/>
            </w:tcBorders>
            <w:shd w:val="clear" w:color="auto" w:fill="auto"/>
            <w:noWrap/>
            <w:vAlign w:val="center"/>
          </w:tcPr>
          <w:p w14:paraId="715F925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123.72 </w:t>
            </w:r>
          </w:p>
        </w:tc>
        <w:tc>
          <w:tcPr>
            <w:tcW w:w="713" w:type="pct"/>
            <w:vMerge w:val="restart"/>
            <w:tcBorders>
              <w:tl2br w:val="nil"/>
              <w:tr2bl w:val="nil"/>
            </w:tcBorders>
            <w:shd w:val="clear" w:color="auto" w:fill="auto"/>
            <w:noWrap/>
            <w:vAlign w:val="center"/>
          </w:tcPr>
          <w:p w14:paraId="6128409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67.23 </w:t>
            </w:r>
          </w:p>
        </w:tc>
        <w:tc>
          <w:tcPr>
            <w:tcW w:w="667" w:type="pct"/>
            <w:vMerge w:val="restart"/>
            <w:tcBorders>
              <w:tl2br w:val="nil"/>
              <w:tr2bl w:val="nil"/>
            </w:tcBorders>
            <w:shd w:val="clear" w:color="auto" w:fill="auto"/>
            <w:noWrap/>
            <w:vAlign w:val="center"/>
          </w:tcPr>
          <w:p w14:paraId="7F7A90E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69.55 </w:t>
            </w:r>
          </w:p>
        </w:tc>
        <w:tc>
          <w:tcPr>
            <w:tcW w:w="674" w:type="pct"/>
            <w:vMerge w:val="restart"/>
            <w:tcBorders>
              <w:tl2br w:val="nil"/>
              <w:tr2bl w:val="nil"/>
            </w:tcBorders>
            <w:shd w:val="clear" w:color="auto" w:fill="auto"/>
            <w:noWrap/>
            <w:vAlign w:val="center"/>
          </w:tcPr>
          <w:p w14:paraId="2B516D5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2.32 </w:t>
            </w:r>
          </w:p>
        </w:tc>
      </w:tr>
      <w:tr w14:paraId="4B79716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3F6E8E39">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64BD34D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14:paraId="6E74B26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235.14 </w:t>
            </w:r>
          </w:p>
        </w:tc>
        <w:tc>
          <w:tcPr>
            <w:tcW w:w="686" w:type="pct"/>
            <w:tcBorders>
              <w:tl2br w:val="nil"/>
              <w:tr2bl w:val="nil"/>
            </w:tcBorders>
            <w:shd w:val="clear" w:color="auto" w:fill="auto"/>
            <w:noWrap/>
            <w:vAlign w:val="center"/>
          </w:tcPr>
          <w:p w14:paraId="48CA558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56.77 </w:t>
            </w:r>
          </w:p>
        </w:tc>
        <w:tc>
          <w:tcPr>
            <w:tcW w:w="713" w:type="pct"/>
            <w:vMerge w:val="continue"/>
            <w:tcBorders>
              <w:tl2br w:val="nil"/>
              <w:tr2bl w:val="nil"/>
            </w:tcBorders>
            <w:shd w:val="clear" w:color="auto" w:fill="auto"/>
            <w:noWrap/>
            <w:vAlign w:val="center"/>
          </w:tcPr>
          <w:p w14:paraId="604055FE">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4FFF1AC8">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7D837832">
            <w:pPr>
              <w:jc w:val="center"/>
              <w:rPr>
                <w:rFonts w:hint="default" w:ascii="Times New Roman" w:hAnsi="Times New Roman" w:eastAsia="宋体" w:cs="Times New Roman"/>
                <w:i w:val="0"/>
                <w:iCs w:val="0"/>
                <w:color w:val="auto"/>
                <w:sz w:val="22"/>
                <w:szCs w:val="22"/>
                <w:u w:val="none"/>
              </w:rPr>
            </w:pPr>
          </w:p>
        </w:tc>
      </w:tr>
      <w:tr w14:paraId="7352AF1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06AE9F70">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1C41EC9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86" w:type="pct"/>
            <w:tcBorders>
              <w:tl2br w:val="nil"/>
              <w:tr2bl w:val="nil"/>
            </w:tcBorders>
            <w:shd w:val="clear" w:color="auto" w:fill="auto"/>
            <w:noWrap/>
            <w:vAlign w:val="center"/>
          </w:tcPr>
          <w:p w14:paraId="4594AB2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42.24 </w:t>
            </w:r>
          </w:p>
        </w:tc>
        <w:tc>
          <w:tcPr>
            <w:tcW w:w="686" w:type="pct"/>
            <w:tcBorders>
              <w:tl2br w:val="nil"/>
              <w:tr2bl w:val="nil"/>
            </w:tcBorders>
            <w:shd w:val="clear" w:color="auto" w:fill="auto"/>
            <w:noWrap/>
            <w:vAlign w:val="center"/>
          </w:tcPr>
          <w:p w14:paraId="675DDD9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10.20 </w:t>
            </w:r>
          </w:p>
        </w:tc>
        <w:tc>
          <w:tcPr>
            <w:tcW w:w="713" w:type="pct"/>
            <w:vMerge w:val="continue"/>
            <w:tcBorders>
              <w:tl2br w:val="nil"/>
              <w:tr2bl w:val="nil"/>
            </w:tcBorders>
            <w:shd w:val="clear" w:color="auto" w:fill="auto"/>
            <w:noWrap/>
            <w:vAlign w:val="center"/>
          </w:tcPr>
          <w:p w14:paraId="01E1FBFF">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5EBB7D33">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1C6CFF29">
            <w:pPr>
              <w:jc w:val="center"/>
              <w:rPr>
                <w:rFonts w:hint="default" w:ascii="Times New Roman" w:hAnsi="Times New Roman" w:eastAsia="宋体" w:cs="Times New Roman"/>
                <w:i w:val="0"/>
                <w:iCs w:val="0"/>
                <w:color w:val="auto"/>
                <w:sz w:val="22"/>
                <w:szCs w:val="22"/>
                <w:u w:val="none"/>
              </w:rPr>
            </w:pPr>
          </w:p>
        </w:tc>
      </w:tr>
      <w:tr w14:paraId="62A5D66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06D92E1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都柳江</w:t>
            </w:r>
          </w:p>
        </w:tc>
        <w:tc>
          <w:tcPr>
            <w:tcW w:w="677" w:type="pct"/>
            <w:tcBorders>
              <w:tl2br w:val="nil"/>
              <w:tr2bl w:val="nil"/>
            </w:tcBorders>
            <w:shd w:val="clear" w:color="auto" w:fill="auto"/>
            <w:noWrap/>
            <w:vAlign w:val="center"/>
          </w:tcPr>
          <w:p w14:paraId="3F2C3BE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14:paraId="27AE922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503.88 </w:t>
            </w:r>
          </w:p>
        </w:tc>
        <w:tc>
          <w:tcPr>
            <w:tcW w:w="686" w:type="pct"/>
            <w:tcBorders>
              <w:tl2br w:val="nil"/>
              <w:tr2bl w:val="nil"/>
            </w:tcBorders>
            <w:shd w:val="clear" w:color="auto" w:fill="auto"/>
            <w:noWrap/>
            <w:vAlign w:val="center"/>
          </w:tcPr>
          <w:p w14:paraId="08D14E6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121.66 </w:t>
            </w:r>
          </w:p>
        </w:tc>
        <w:tc>
          <w:tcPr>
            <w:tcW w:w="713" w:type="pct"/>
            <w:vMerge w:val="restart"/>
            <w:tcBorders>
              <w:tl2br w:val="nil"/>
              <w:tr2bl w:val="nil"/>
            </w:tcBorders>
            <w:shd w:val="clear" w:color="auto" w:fill="auto"/>
            <w:noWrap/>
            <w:vAlign w:val="center"/>
          </w:tcPr>
          <w:p w14:paraId="6B34984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87.37 </w:t>
            </w:r>
          </w:p>
        </w:tc>
        <w:tc>
          <w:tcPr>
            <w:tcW w:w="667" w:type="pct"/>
            <w:vMerge w:val="restart"/>
            <w:tcBorders>
              <w:tl2br w:val="nil"/>
              <w:tr2bl w:val="nil"/>
            </w:tcBorders>
            <w:shd w:val="clear" w:color="auto" w:fill="auto"/>
            <w:noWrap/>
            <w:vAlign w:val="center"/>
          </w:tcPr>
          <w:p w14:paraId="7443297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88.95 </w:t>
            </w:r>
          </w:p>
        </w:tc>
        <w:tc>
          <w:tcPr>
            <w:tcW w:w="674" w:type="pct"/>
            <w:vMerge w:val="restart"/>
            <w:tcBorders>
              <w:tl2br w:val="nil"/>
              <w:tr2bl w:val="nil"/>
            </w:tcBorders>
            <w:shd w:val="clear" w:color="auto" w:fill="auto"/>
            <w:noWrap/>
            <w:vAlign w:val="center"/>
          </w:tcPr>
          <w:p w14:paraId="3654B99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1.58 </w:t>
            </w:r>
          </w:p>
        </w:tc>
      </w:tr>
      <w:tr w14:paraId="40F101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5BBD0F2A">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7593FD3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86" w:type="pct"/>
            <w:tcBorders>
              <w:tl2br w:val="nil"/>
              <w:tr2bl w:val="nil"/>
            </w:tcBorders>
            <w:shd w:val="clear" w:color="auto" w:fill="auto"/>
            <w:noWrap/>
            <w:vAlign w:val="center"/>
          </w:tcPr>
          <w:p w14:paraId="447FF02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959.45 </w:t>
            </w:r>
          </w:p>
        </w:tc>
        <w:tc>
          <w:tcPr>
            <w:tcW w:w="686" w:type="pct"/>
            <w:tcBorders>
              <w:tl2br w:val="nil"/>
              <w:tr2bl w:val="nil"/>
            </w:tcBorders>
            <w:shd w:val="clear" w:color="auto" w:fill="auto"/>
            <w:noWrap/>
            <w:vAlign w:val="center"/>
          </w:tcPr>
          <w:p w14:paraId="3D3ADC1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231.65 </w:t>
            </w:r>
          </w:p>
        </w:tc>
        <w:tc>
          <w:tcPr>
            <w:tcW w:w="713" w:type="pct"/>
            <w:vMerge w:val="continue"/>
            <w:tcBorders>
              <w:tl2br w:val="nil"/>
              <w:tr2bl w:val="nil"/>
            </w:tcBorders>
            <w:shd w:val="clear" w:color="auto" w:fill="auto"/>
            <w:noWrap/>
            <w:vAlign w:val="center"/>
          </w:tcPr>
          <w:p w14:paraId="51DF14FC">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0E4A434C">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2E060AED">
            <w:pPr>
              <w:jc w:val="center"/>
              <w:rPr>
                <w:rFonts w:hint="default" w:ascii="Times New Roman" w:hAnsi="Times New Roman" w:eastAsia="宋体" w:cs="Times New Roman"/>
                <w:i w:val="0"/>
                <w:iCs w:val="0"/>
                <w:color w:val="auto"/>
                <w:sz w:val="22"/>
                <w:szCs w:val="22"/>
                <w:u w:val="none"/>
              </w:rPr>
            </w:pPr>
          </w:p>
        </w:tc>
      </w:tr>
      <w:tr w14:paraId="79738D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55A1C41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猫跳河</w:t>
            </w:r>
          </w:p>
        </w:tc>
        <w:tc>
          <w:tcPr>
            <w:tcW w:w="677" w:type="pct"/>
            <w:tcBorders>
              <w:tl2br w:val="nil"/>
              <w:tr2bl w:val="nil"/>
            </w:tcBorders>
            <w:shd w:val="clear" w:color="auto" w:fill="auto"/>
            <w:noWrap/>
            <w:vAlign w:val="center"/>
          </w:tcPr>
          <w:p w14:paraId="77F220D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86" w:type="pct"/>
            <w:tcBorders>
              <w:tl2br w:val="nil"/>
              <w:tr2bl w:val="nil"/>
            </w:tcBorders>
            <w:shd w:val="clear" w:color="auto" w:fill="auto"/>
            <w:noWrap/>
            <w:vAlign w:val="center"/>
          </w:tcPr>
          <w:p w14:paraId="1762186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472.59 </w:t>
            </w:r>
          </w:p>
        </w:tc>
        <w:tc>
          <w:tcPr>
            <w:tcW w:w="686" w:type="pct"/>
            <w:tcBorders>
              <w:tl2br w:val="nil"/>
              <w:tr2bl w:val="nil"/>
            </w:tcBorders>
            <w:shd w:val="clear" w:color="auto" w:fill="auto"/>
            <w:noWrap/>
            <w:vAlign w:val="center"/>
          </w:tcPr>
          <w:p w14:paraId="70CAB4F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114.10 </w:t>
            </w:r>
          </w:p>
        </w:tc>
        <w:tc>
          <w:tcPr>
            <w:tcW w:w="713" w:type="pct"/>
            <w:vMerge w:val="restart"/>
            <w:tcBorders>
              <w:tl2br w:val="nil"/>
              <w:tr2bl w:val="nil"/>
            </w:tcBorders>
            <w:shd w:val="clear" w:color="auto" w:fill="auto"/>
            <w:noWrap/>
            <w:vAlign w:val="center"/>
          </w:tcPr>
          <w:p w14:paraId="6CCC939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78.34 </w:t>
            </w:r>
          </w:p>
        </w:tc>
        <w:tc>
          <w:tcPr>
            <w:tcW w:w="667" w:type="pct"/>
            <w:vMerge w:val="restart"/>
            <w:tcBorders>
              <w:tl2br w:val="nil"/>
              <w:tr2bl w:val="nil"/>
            </w:tcBorders>
            <w:shd w:val="clear" w:color="auto" w:fill="auto"/>
            <w:noWrap/>
            <w:vAlign w:val="center"/>
          </w:tcPr>
          <w:p w14:paraId="2238FE4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79.27 </w:t>
            </w:r>
          </w:p>
        </w:tc>
        <w:tc>
          <w:tcPr>
            <w:tcW w:w="674" w:type="pct"/>
            <w:vMerge w:val="restart"/>
            <w:tcBorders>
              <w:tl2br w:val="nil"/>
              <w:tr2bl w:val="nil"/>
            </w:tcBorders>
            <w:shd w:val="clear" w:color="auto" w:fill="auto"/>
            <w:noWrap/>
            <w:vAlign w:val="center"/>
          </w:tcPr>
          <w:p w14:paraId="22846D0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0.93 </w:t>
            </w:r>
          </w:p>
        </w:tc>
      </w:tr>
      <w:tr w14:paraId="4291B16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6C37947B">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5217D0F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86" w:type="pct"/>
            <w:tcBorders>
              <w:tl2br w:val="nil"/>
              <w:tr2bl w:val="nil"/>
            </w:tcBorders>
            <w:shd w:val="clear" w:color="auto" w:fill="auto"/>
            <w:noWrap/>
            <w:vAlign w:val="center"/>
          </w:tcPr>
          <w:p w14:paraId="59A0A5B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182.29 </w:t>
            </w:r>
          </w:p>
        </w:tc>
        <w:tc>
          <w:tcPr>
            <w:tcW w:w="686" w:type="pct"/>
            <w:tcBorders>
              <w:tl2br w:val="nil"/>
              <w:tr2bl w:val="nil"/>
            </w:tcBorders>
            <w:shd w:val="clear" w:color="auto" w:fill="auto"/>
            <w:noWrap/>
            <w:vAlign w:val="center"/>
          </w:tcPr>
          <w:p w14:paraId="05B05C4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30.01 </w:t>
            </w:r>
          </w:p>
        </w:tc>
        <w:tc>
          <w:tcPr>
            <w:tcW w:w="713" w:type="pct"/>
            <w:vMerge w:val="continue"/>
            <w:tcBorders>
              <w:tl2br w:val="nil"/>
              <w:tr2bl w:val="nil"/>
            </w:tcBorders>
            <w:shd w:val="clear" w:color="auto" w:fill="auto"/>
            <w:noWrap/>
            <w:vAlign w:val="center"/>
          </w:tcPr>
          <w:p w14:paraId="3B355D51">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29006DF8">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358611A2">
            <w:pPr>
              <w:jc w:val="center"/>
              <w:rPr>
                <w:rFonts w:hint="default" w:ascii="Times New Roman" w:hAnsi="Times New Roman" w:eastAsia="宋体" w:cs="Times New Roman"/>
                <w:i w:val="0"/>
                <w:iCs w:val="0"/>
                <w:color w:val="auto"/>
                <w:sz w:val="22"/>
                <w:szCs w:val="22"/>
                <w:u w:val="none"/>
              </w:rPr>
            </w:pPr>
          </w:p>
        </w:tc>
      </w:tr>
      <w:tr w14:paraId="775BD7D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31E1062B">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7ECD6A1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86" w:type="pct"/>
            <w:tcBorders>
              <w:tl2br w:val="nil"/>
              <w:tr2bl w:val="nil"/>
            </w:tcBorders>
            <w:shd w:val="clear" w:color="auto" w:fill="auto"/>
            <w:noWrap/>
            <w:vAlign w:val="center"/>
          </w:tcPr>
          <w:p w14:paraId="35E836E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3.95 </w:t>
            </w:r>
          </w:p>
        </w:tc>
        <w:tc>
          <w:tcPr>
            <w:tcW w:w="686" w:type="pct"/>
            <w:tcBorders>
              <w:tl2br w:val="nil"/>
              <w:tr2bl w:val="nil"/>
            </w:tcBorders>
            <w:shd w:val="clear" w:color="auto" w:fill="auto"/>
            <w:noWrap/>
            <w:vAlign w:val="center"/>
          </w:tcPr>
          <w:p w14:paraId="1AF2F60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0.95 </w:t>
            </w:r>
          </w:p>
        </w:tc>
        <w:tc>
          <w:tcPr>
            <w:tcW w:w="713" w:type="pct"/>
            <w:vMerge w:val="continue"/>
            <w:tcBorders>
              <w:tl2br w:val="nil"/>
              <w:tr2bl w:val="nil"/>
            </w:tcBorders>
            <w:shd w:val="clear" w:color="auto" w:fill="auto"/>
            <w:noWrap/>
            <w:vAlign w:val="center"/>
          </w:tcPr>
          <w:p w14:paraId="73E724D2">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732B0901">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0B6C430C">
            <w:pPr>
              <w:jc w:val="center"/>
              <w:rPr>
                <w:rFonts w:hint="default" w:ascii="Times New Roman" w:hAnsi="Times New Roman" w:eastAsia="宋体" w:cs="Times New Roman"/>
                <w:i w:val="0"/>
                <w:iCs w:val="0"/>
                <w:color w:val="auto"/>
                <w:sz w:val="22"/>
                <w:szCs w:val="22"/>
                <w:u w:val="none"/>
              </w:rPr>
            </w:pPr>
          </w:p>
        </w:tc>
      </w:tr>
      <w:tr w14:paraId="0B7905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740E0E94">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19866A9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14:paraId="3C17062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44.25 </w:t>
            </w:r>
          </w:p>
        </w:tc>
        <w:tc>
          <w:tcPr>
            <w:tcW w:w="686" w:type="pct"/>
            <w:tcBorders>
              <w:tl2br w:val="nil"/>
              <w:tr2bl w:val="nil"/>
            </w:tcBorders>
            <w:shd w:val="clear" w:color="auto" w:fill="auto"/>
            <w:noWrap/>
            <w:vAlign w:val="center"/>
          </w:tcPr>
          <w:p w14:paraId="3228FB8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10.68 </w:t>
            </w:r>
          </w:p>
        </w:tc>
        <w:tc>
          <w:tcPr>
            <w:tcW w:w="713" w:type="pct"/>
            <w:vMerge w:val="continue"/>
            <w:tcBorders>
              <w:tl2br w:val="nil"/>
              <w:tr2bl w:val="nil"/>
            </w:tcBorders>
            <w:shd w:val="clear" w:color="auto" w:fill="auto"/>
            <w:noWrap/>
            <w:vAlign w:val="center"/>
          </w:tcPr>
          <w:p w14:paraId="6F5A6AFE">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0C55D5AB">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440F0E7B">
            <w:pPr>
              <w:jc w:val="center"/>
              <w:rPr>
                <w:rFonts w:hint="default" w:ascii="Times New Roman" w:hAnsi="Times New Roman" w:eastAsia="宋体" w:cs="Times New Roman"/>
                <w:i w:val="0"/>
                <w:iCs w:val="0"/>
                <w:color w:val="auto"/>
                <w:sz w:val="22"/>
                <w:szCs w:val="22"/>
                <w:u w:val="none"/>
              </w:rPr>
            </w:pPr>
          </w:p>
        </w:tc>
      </w:tr>
      <w:tr w14:paraId="54632B2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tcBorders>
              <w:tl2br w:val="nil"/>
              <w:tr2bl w:val="nil"/>
            </w:tcBorders>
            <w:shd w:val="clear" w:color="auto" w:fill="auto"/>
            <w:noWrap/>
            <w:vAlign w:val="center"/>
          </w:tcPr>
          <w:p w14:paraId="6E46FB9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铜梓河</w:t>
            </w:r>
          </w:p>
        </w:tc>
        <w:tc>
          <w:tcPr>
            <w:tcW w:w="677" w:type="pct"/>
            <w:tcBorders>
              <w:tl2br w:val="nil"/>
              <w:tr2bl w:val="nil"/>
            </w:tcBorders>
            <w:shd w:val="clear" w:color="auto" w:fill="auto"/>
            <w:noWrap/>
            <w:vAlign w:val="center"/>
          </w:tcPr>
          <w:p w14:paraId="0AD6EC1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86" w:type="pct"/>
            <w:tcBorders>
              <w:tl2br w:val="nil"/>
              <w:tr2bl w:val="nil"/>
            </w:tcBorders>
            <w:shd w:val="clear" w:color="auto" w:fill="auto"/>
            <w:noWrap/>
            <w:vAlign w:val="center"/>
          </w:tcPr>
          <w:p w14:paraId="60BB932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944.10 </w:t>
            </w:r>
          </w:p>
        </w:tc>
        <w:tc>
          <w:tcPr>
            <w:tcW w:w="686" w:type="pct"/>
            <w:tcBorders>
              <w:tl2br w:val="nil"/>
              <w:tr2bl w:val="nil"/>
            </w:tcBorders>
            <w:shd w:val="clear" w:color="auto" w:fill="auto"/>
            <w:noWrap/>
            <w:vAlign w:val="center"/>
          </w:tcPr>
          <w:p w14:paraId="007D05C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225.86 </w:t>
            </w:r>
          </w:p>
        </w:tc>
        <w:tc>
          <w:tcPr>
            <w:tcW w:w="713" w:type="pct"/>
            <w:tcBorders>
              <w:tl2br w:val="nil"/>
              <w:tr2bl w:val="nil"/>
            </w:tcBorders>
            <w:shd w:val="clear" w:color="auto" w:fill="auto"/>
            <w:noWrap/>
            <w:vAlign w:val="center"/>
          </w:tcPr>
          <w:p w14:paraId="7AF7041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71.92 </w:t>
            </w:r>
          </w:p>
        </w:tc>
        <w:tc>
          <w:tcPr>
            <w:tcW w:w="667" w:type="pct"/>
            <w:tcBorders>
              <w:tl2br w:val="nil"/>
              <w:tr2bl w:val="nil"/>
            </w:tcBorders>
            <w:shd w:val="clear" w:color="auto" w:fill="auto"/>
            <w:noWrap/>
            <w:vAlign w:val="center"/>
          </w:tcPr>
          <w:p w14:paraId="5308FF3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73.81 </w:t>
            </w:r>
          </w:p>
        </w:tc>
        <w:tc>
          <w:tcPr>
            <w:tcW w:w="674" w:type="pct"/>
            <w:tcBorders>
              <w:tl2br w:val="nil"/>
              <w:tr2bl w:val="nil"/>
            </w:tcBorders>
            <w:shd w:val="clear" w:color="auto" w:fill="auto"/>
            <w:noWrap/>
            <w:vAlign w:val="center"/>
          </w:tcPr>
          <w:p w14:paraId="3A33BFE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1.89 </w:t>
            </w:r>
          </w:p>
        </w:tc>
      </w:tr>
      <w:tr w14:paraId="0AC3DD1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65CB768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重安江</w:t>
            </w:r>
          </w:p>
        </w:tc>
        <w:tc>
          <w:tcPr>
            <w:tcW w:w="677" w:type="pct"/>
            <w:tcBorders>
              <w:tl2br w:val="nil"/>
              <w:tr2bl w:val="nil"/>
            </w:tcBorders>
            <w:shd w:val="clear" w:color="auto" w:fill="auto"/>
            <w:noWrap/>
            <w:vAlign w:val="center"/>
          </w:tcPr>
          <w:p w14:paraId="6B67B35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14:paraId="2C395A5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187.31 </w:t>
            </w:r>
          </w:p>
        </w:tc>
        <w:tc>
          <w:tcPr>
            <w:tcW w:w="686" w:type="pct"/>
            <w:tcBorders>
              <w:tl2br w:val="nil"/>
              <w:tr2bl w:val="nil"/>
            </w:tcBorders>
            <w:shd w:val="clear" w:color="auto" w:fill="auto"/>
            <w:noWrap/>
            <w:vAlign w:val="center"/>
          </w:tcPr>
          <w:p w14:paraId="36AFA7C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45.22 </w:t>
            </w:r>
          </w:p>
        </w:tc>
        <w:tc>
          <w:tcPr>
            <w:tcW w:w="713" w:type="pct"/>
            <w:vMerge w:val="restart"/>
            <w:tcBorders>
              <w:tl2br w:val="nil"/>
              <w:tr2bl w:val="nil"/>
            </w:tcBorders>
            <w:shd w:val="clear" w:color="auto" w:fill="auto"/>
            <w:noWrap/>
            <w:vAlign w:val="center"/>
          </w:tcPr>
          <w:p w14:paraId="7A594FC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81.84 </w:t>
            </w:r>
          </w:p>
        </w:tc>
        <w:tc>
          <w:tcPr>
            <w:tcW w:w="667" w:type="pct"/>
            <w:vMerge w:val="restart"/>
            <w:tcBorders>
              <w:tl2br w:val="nil"/>
              <w:tr2bl w:val="nil"/>
            </w:tcBorders>
            <w:shd w:val="clear" w:color="auto" w:fill="auto"/>
            <w:noWrap/>
            <w:vAlign w:val="center"/>
          </w:tcPr>
          <w:p w14:paraId="3DF623F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83.36 </w:t>
            </w:r>
          </w:p>
        </w:tc>
        <w:tc>
          <w:tcPr>
            <w:tcW w:w="674" w:type="pct"/>
            <w:vMerge w:val="restart"/>
            <w:tcBorders>
              <w:tl2br w:val="nil"/>
              <w:tr2bl w:val="nil"/>
            </w:tcBorders>
            <w:shd w:val="clear" w:color="auto" w:fill="auto"/>
            <w:noWrap/>
            <w:vAlign w:val="center"/>
          </w:tcPr>
          <w:p w14:paraId="7331D37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1.52 </w:t>
            </w:r>
          </w:p>
        </w:tc>
      </w:tr>
      <w:tr w14:paraId="37F8A3F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33F8EA71">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55C5509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86" w:type="pct"/>
            <w:tcBorders>
              <w:tl2br w:val="nil"/>
              <w:tr2bl w:val="nil"/>
            </w:tcBorders>
            <w:shd w:val="clear" w:color="auto" w:fill="auto"/>
            <w:noWrap/>
            <w:vAlign w:val="center"/>
          </w:tcPr>
          <w:p w14:paraId="66300CF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316.32 </w:t>
            </w:r>
          </w:p>
        </w:tc>
        <w:tc>
          <w:tcPr>
            <w:tcW w:w="686" w:type="pct"/>
            <w:tcBorders>
              <w:tl2br w:val="nil"/>
              <w:tr2bl w:val="nil"/>
            </w:tcBorders>
            <w:shd w:val="clear" w:color="auto" w:fill="auto"/>
            <w:noWrap/>
            <w:vAlign w:val="center"/>
          </w:tcPr>
          <w:p w14:paraId="7A17677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76.37 </w:t>
            </w:r>
          </w:p>
        </w:tc>
        <w:tc>
          <w:tcPr>
            <w:tcW w:w="713" w:type="pct"/>
            <w:vMerge w:val="continue"/>
            <w:tcBorders>
              <w:tl2br w:val="nil"/>
              <w:tr2bl w:val="nil"/>
            </w:tcBorders>
            <w:shd w:val="clear" w:color="auto" w:fill="auto"/>
            <w:noWrap/>
            <w:vAlign w:val="center"/>
          </w:tcPr>
          <w:p w14:paraId="13222975">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56809C1F">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2201F22B">
            <w:pPr>
              <w:jc w:val="center"/>
              <w:rPr>
                <w:rFonts w:hint="default" w:ascii="Times New Roman" w:hAnsi="Times New Roman" w:eastAsia="宋体" w:cs="Times New Roman"/>
                <w:i w:val="0"/>
                <w:iCs w:val="0"/>
                <w:color w:val="auto"/>
                <w:sz w:val="22"/>
                <w:szCs w:val="22"/>
                <w:u w:val="none"/>
              </w:rPr>
            </w:pPr>
          </w:p>
        </w:tc>
      </w:tr>
      <w:tr w14:paraId="76D0EB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53D28DF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打邦河</w:t>
            </w:r>
          </w:p>
        </w:tc>
        <w:tc>
          <w:tcPr>
            <w:tcW w:w="677" w:type="pct"/>
            <w:tcBorders>
              <w:tl2br w:val="nil"/>
              <w:tr2bl w:val="nil"/>
            </w:tcBorders>
            <w:shd w:val="clear" w:color="auto" w:fill="auto"/>
            <w:noWrap/>
            <w:vAlign w:val="center"/>
          </w:tcPr>
          <w:p w14:paraId="0309FFE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86" w:type="pct"/>
            <w:tcBorders>
              <w:tl2br w:val="nil"/>
              <w:tr2bl w:val="nil"/>
            </w:tcBorders>
            <w:shd w:val="clear" w:color="auto" w:fill="auto"/>
            <w:noWrap/>
            <w:vAlign w:val="center"/>
          </w:tcPr>
          <w:p w14:paraId="74D0B32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649.34 </w:t>
            </w:r>
          </w:p>
        </w:tc>
        <w:tc>
          <w:tcPr>
            <w:tcW w:w="686" w:type="pct"/>
            <w:tcBorders>
              <w:tl2br w:val="nil"/>
              <w:tr2bl w:val="nil"/>
            </w:tcBorders>
            <w:shd w:val="clear" w:color="auto" w:fill="auto"/>
            <w:noWrap/>
            <w:vAlign w:val="center"/>
          </w:tcPr>
          <w:p w14:paraId="1836661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89.29 </w:t>
            </w:r>
          </w:p>
        </w:tc>
        <w:tc>
          <w:tcPr>
            <w:tcW w:w="713" w:type="pct"/>
            <w:vMerge w:val="restart"/>
            <w:tcBorders>
              <w:tl2br w:val="nil"/>
              <w:tr2bl w:val="nil"/>
            </w:tcBorders>
            <w:shd w:val="clear" w:color="auto" w:fill="auto"/>
            <w:noWrap/>
            <w:vAlign w:val="center"/>
          </w:tcPr>
          <w:p w14:paraId="21F64F7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71.67 </w:t>
            </w:r>
          </w:p>
        </w:tc>
        <w:tc>
          <w:tcPr>
            <w:tcW w:w="667" w:type="pct"/>
            <w:vMerge w:val="restart"/>
            <w:tcBorders>
              <w:tl2br w:val="nil"/>
              <w:tr2bl w:val="nil"/>
            </w:tcBorders>
            <w:shd w:val="clear" w:color="auto" w:fill="auto"/>
            <w:noWrap/>
            <w:vAlign w:val="center"/>
          </w:tcPr>
          <w:p w14:paraId="4B85EF8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72.76 </w:t>
            </w:r>
          </w:p>
        </w:tc>
        <w:tc>
          <w:tcPr>
            <w:tcW w:w="674" w:type="pct"/>
            <w:vMerge w:val="restart"/>
            <w:tcBorders>
              <w:tl2br w:val="nil"/>
              <w:tr2bl w:val="nil"/>
            </w:tcBorders>
            <w:shd w:val="clear" w:color="auto" w:fill="auto"/>
            <w:noWrap/>
            <w:vAlign w:val="center"/>
          </w:tcPr>
          <w:p w14:paraId="6E04F5D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1.09 </w:t>
            </w:r>
          </w:p>
        </w:tc>
      </w:tr>
      <w:tr w14:paraId="35C75C5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50ABFEC6">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1662F24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14:paraId="3B81004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161.98 </w:t>
            </w:r>
          </w:p>
        </w:tc>
        <w:tc>
          <w:tcPr>
            <w:tcW w:w="686" w:type="pct"/>
            <w:tcBorders>
              <w:tl2br w:val="nil"/>
              <w:tr2bl w:val="nil"/>
            </w:tcBorders>
            <w:shd w:val="clear" w:color="auto" w:fill="auto"/>
            <w:noWrap/>
            <w:vAlign w:val="center"/>
          </w:tcPr>
          <w:p w14:paraId="716C566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39.11 </w:t>
            </w:r>
          </w:p>
        </w:tc>
        <w:tc>
          <w:tcPr>
            <w:tcW w:w="713" w:type="pct"/>
            <w:vMerge w:val="continue"/>
            <w:tcBorders>
              <w:tl2br w:val="nil"/>
              <w:tr2bl w:val="nil"/>
            </w:tcBorders>
            <w:shd w:val="clear" w:color="auto" w:fill="auto"/>
            <w:noWrap/>
            <w:vAlign w:val="center"/>
          </w:tcPr>
          <w:p w14:paraId="2E31370A">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09820B61">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5956C566">
            <w:pPr>
              <w:jc w:val="center"/>
              <w:rPr>
                <w:rFonts w:hint="default" w:ascii="Times New Roman" w:hAnsi="Times New Roman" w:eastAsia="宋体" w:cs="Times New Roman"/>
                <w:i w:val="0"/>
                <w:iCs w:val="0"/>
                <w:color w:val="auto"/>
                <w:sz w:val="22"/>
                <w:szCs w:val="22"/>
                <w:u w:val="none"/>
              </w:rPr>
            </w:pPr>
          </w:p>
        </w:tc>
      </w:tr>
      <w:tr w14:paraId="4BD8C33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5B757EEA">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1D17E8A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14:paraId="0A8A38A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0.03 </w:t>
            </w:r>
          </w:p>
        </w:tc>
        <w:tc>
          <w:tcPr>
            <w:tcW w:w="686" w:type="pct"/>
            <w:tcBorders>
              <w:tl2br w:val="nil"/>
              <w:tr2bl w:val="nil"/>
            </w:tcBorders>
            <w:shd w:val="clear" w:color="auto" w:fill="auto"/>
            <w:noWrap/>
            <w:vAlign w:val="center"/>
          </w:tcPr>
          <w:p w14:paraId="5A34539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0.03 </w:t>
            </w:r>
          </w:p>
        </w:tc>
        <w:tc>
          <w:tcPr>
            <w:tcW w:w="713" w:type="pct"/>
            <w:vMerge w:val="continue"/>
            <w:tcBorders>
              <w:tl2br w:val="nil"/>
              <w:tr2bl w:val="nil"/>
            </w:tcBorders>
            <w:shd w:val="clear" w:color="auto" w:fill="auto"/>
            <w:noWrap/>
            <w:vAlign w:val="center"/>
          </w:tcPr>
          <w:p w14:paraId="14954728">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7D179C9A">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31D41086">
            <w:pPr>
              <w:jc w:val="center"/>
              <w:rPr>
                <w:rFonts w:hint="default" w:ascii="Times New Roman" w:hAnsi="Times New Roman" w:eastAsia="宋体" w:cs="Times New Roman"/>
                <w:i w:val="0"/>
                <w:iCs w:val="0"/>
                <w:color w:val="auto"/>
                <w:sz w:val="22"/>
                <w:szCs w:val="22"/>
                <w:u w:val="none"/>
              </w:rPr>
            </w:pPr>
          </w:p>
        </w:tc>
      </w:tr>
      <w:tr w14:paraId="5C3637E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5315BD5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马别河</w:t>
            </w:r>
          </w:p>
        </w:tc>
        <w:tc>
          <w:tcPr>
            <w:tcW w:w="677" w:type="pct"/>
            <w:tcBorders>
              <w:tl2br w:val="nil"/>
              <w:tr2bl w:val="nil"/>
            </w:tcBorders>
            <w:shd w:val="clear" w:color="auto" w:fill="auto"/>
            <w:noWrap/>
            <w:vAlign w:val="center"/>
          </w:tcPr>
          <w:p w14:paraId="0BA19CD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14:paraId="044F43C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628.94 </w:t>
            </w:r>
          </w:p>
        </w:tc>
        <w:tc>
          <w:tcPr>
            <w:tcW w:w="686" w:type="pct"/>
            <w:tcBorders>
              <w:tl2br w:val="nil"/>
              <w:tr2bl w:val="nil"/>
            </w:tcBorders>
            <w:shd w:val="clear" w:color="auto" w:fill="auto"/>
            <w:noWrap/>
            <w:vAlign w:val="center"/>
          </w:tcPr>
          <w:p w14:paraId="0E286A7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151.85 </w:t>
            </w:r>
          </w:p>
        </w:tc>
        <w:tc>
          <w:tcPr>
            <w:tcW w:w="713" w:type="pct"/>
            <w:vMerge w:val="restart"/>
            <w:tcBorders>
              <w:tl2br w:val="nil"/>
              <w:tr2bl w:val="nil"/>
            </w:tcBorders>
            <w:shd w:val="clear" w:color="auto" w:fill="auto"/>
            <w:noWrap/>
            <w:vAlign w:val="center"/>
          </w:tcPr>
          <w:p w14:paraId="5DEDC0F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67.62 </w:t>
            </w:r>
          </w:p>
        </w:tc>
        <w:tc>
          <w:tcPr>
            <w:tcW w:w="667" w:type="pct"/>
            <w:vMerge w:val="restart"/>
            <w:tcBorders>
              <w:tl2br w:val="nil"/>
              <w:tr2bl w:val="nil"/>
            </w:tcBorders>
            <w:shd w:val="clear" w:color="auto" w:fill="auto"/>
            <w:noWrap/>
            <w:vAlign w:val="center"/>
          </w:tcPr>
          <w:p w14:paraId="3695CD8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69.53 </w:t>
            </w:r>
          </w:p>
        </w:tc>
        <w:tc>
          <w:tcPr>
            <w:tcW w:w="674" w:type="pct"/>
            <w:vMerge w:val="restart"/>
            <w:tcBorders>
              <w:tl2br w:val="nil"/>
              <w:tr2bl w:val="nil"/>
            </w:tcBorders>
            <w:shd w:val="clear" w:color="auto" w:fill="auto"/>
            <w:noWrap/>
            <w:vAlign w:val="center"/>
          </w:tcPr>
          <w:p w14:paraId="402FCDC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1.91 </w:t>
            </w:r>
          </w:p>
        </w:tc>
      </w:tr>
      <w:tr w14:paraId="1BF8744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3758402A">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1480F2D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14:paraId="7B347A0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291.38 </w:t>
            </w:r>
          </w:p>
        </w:tc>
        <w:tc>
          <w:tcPr>
            <w:tcW w:w="686" w:type="pct"/>
            <w:tcBorders>
              <w:tl2br w:val="nil"/>
              <w:tr2bl w:val="nil"/>
            </w:tcBorders>
            <w:shd w:val="clear" w:color="auto" w:fill="auto"/>
            <w:noWrap/>
            <w:vAlign w:val="center"/>
          </w:tcPr>
          <w:p w14:paraId="222BE88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70.35 </w:t>
            </w:r>
          </w:p>
        </w:tc>
        <w:tc>
          <w:tcPr>
            <w:tcW w:w="713" w:type="pct"/>
            <w:vMerge w:val="continue"/>
            <w:tcBorders>
              <w:tl2br w:val="nil"/>
              <w:tr2bl w:val="nil"/>
            </w:tcBorders>
            <w:shd w:val="clear" w:color="auto" w:fill="auto"/>
            <w:noWrap/>
            <w:vAlign w:val="center"/>
          </w:tcPr>
          <w:p w14:paraId="40A7AE3B">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2EFCFC03">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212BD37D">
            <w:pPr>
              <w:jc w:val="center"/>
              <w:rPr>
                <w:rFonts w:hint="default" w:ascii="Times New Roman" w:hAnsi="Times New Roman" w:eastAsia="宋体" w:cs="Times New Roman"/>
                <w:i w:val="0"/>
                <w:iCs w:val="0"/>
                <w:color w:val="auto"/>
                <w:sz w:val="22"/>
                <w:szCs w:val="22"/>
                <w:u w:val="none"/>
              </w:rPr>
            </w:pPr>
          </w:p>
        </w:tc>
      </w:tr>
      <w:tr w14:paraId="5EC444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0907763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黄泥河</w:t>
            </w:r>
          </w:p>
        </w:tc>
        <w:tc>
          <w:tcPr>
            <w:tcW w:w="677" w:type="pct"/>
            <w:tcBorders>
              <w:tl2br w:val="nil"/>
              <w:tr2bl w:val="nil"/>
            </w:tcBorders>
            <w:shd w:val="clear" w:color="auto" w:fill="auto"/>
            <w:noWrap/>
            <w:vAlign w:val="center"/>
          </w:tcPr>
          <w:p w14:paraId="11F90CC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14:paraId="6E32047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206.08 </w:t>
            </w:r>
          </w:p>
        </w:tc>
        <w:tc>
          <w:tcPr>
            <w:tcW w:w="686" w:type="pct"/>
            <w:tcBorders>
              <w:tl2br w:val="nil"/>
              <w:tr2bl w:val="nil"/>
            </w:tcBorders>
            <w:shd w:val="clear" w:color="auto" w:fill="auto"/>
            <w:noWrap/>
            <w:vAlign w:val="center"/>
          </w:tcPr>
          <w:p w14:paraId="1A8CB6E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28.80 </w:t>
            </w:r>
          </w:p>
        </w:tc>
        <w:tc>
          <w:tcPr>
            <w:tcW w:w="713" w:type="pct"/>
            <w:vMerge w:val="restart"/>
            <w:tcBorders>
              <w:tl2br w:val="nil"/>
              <w:tr2bl w:val="nil"/>
            </w:tcBorders>
            <w:shd w:val="clear" w:color="auto" w:fill="auto"/>
            <w:noWrap/>
            <w:vAlign w:val="center"/>
          </w:tcPr>
          <w:p w14:paraId="0EE6C32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62.86 </w:t>
            </w:r>
          </w:p>
        </w:tc>
        <w:tc>
          <w:tcPr>
            <w:tcW w:w="667" w:type="pct"/>
            <w:vMerge w:val="restart"/>
            <w:tcBorders>
              <w:tl2br w:val="nil"/>
              <w:tr2bl w:val="nil"/>
            </w:tcBorders>
            <w:shd w:val="clear" w:color="auto" w:fill="auto"/>
            <w:noWrap/>
            <w:vAlign w:val="center"/>
          </w:tcPr>
          <w:p w14:paraId="7917E12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64.91 </w:t>
            </w:r>
          </w:p>
        </w:tc>
        <w:tc>
          <w:tcPr>
            <w:tcW w:w="674" w:type="pct"/>
            <w:vMerge w:val="restart"/>
            <w:tcBorders>
              <w:tl2br w:val="nil"/>
              <w:tr2bl w:val="nil"/>
            </w:tcBorders>
            <w:shd w:val="clear" w:color="auto" w:fill="auto"/>
            <w:noWrap/>
            <w:vAlign w:val="center"/>
          </w:tcPr>
          <w:p w14:paraId="4234823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2.05 </w:t>
            </w:r>
          </w:p>
        </w:tc>
      </w:tr>
      <w:tr w14:paraId="0B95DF7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06CA6DE4">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25C2771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14:paraId="4E06C12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215.04 </w:t>
            </w:r>
          </w:p>
        </w:tc>
        <w:tc>
          <w:tcPr>
            <w:tcW w:w="686" w:type="pct"/>
            <w:tcBorders>
              <w:tl2br w:val="nil"/>
              <w:tr2bl w:val="nil"/>
            </w:tcBorders>
            <w:shd w:val="clear" w:color="auto" w:fill="auto"/>
            <w:noWrap/>
            <w:vAlign w:val="center"/>
          </w:tcPr>
          <w:p w14:paraId="30002B5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32.02 </w:t>
            </w:r>
          </w:p>
        </w:tc>
        <w:tc>
          <w:tcPr>
            <w:tcW w:w="713" w:type="pct"/>
            <w:vMerge w:val="continue"/>
            <w:tcBorders>
              <w:tl2br w:val="nil"/>
              <w:tr2bl w:val="nil"/>
            </w:tcBorders>
            <w:shd w:val="clear" w:color="auto" w:fill="auto"/>
            <w:noWrap/>
            <w:vAlign w:val="center"/>
          </w:tcPr>
          <w:p w14:paraId="4506CA88">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56EA7E19">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68202592">
            <w:pPr>
              <w:jc w:val="center"/>
              <w:rPr>
                <w:rFonts w:hint="default" w:ascii="Times New Roman" w:hAnsi="Times New Roman" w:eastAsia="宋体" w:cs="Times New Roman"/>
                <w:i w:val="0"/>
                <w:iCs w:val="0"/>
                <w:color w:val="auto"/>
                <w:sz w:val="22"/>
                <w:szCs w:val="22"/>
                <w:u w:val="none"/>
              </w:rPr>
            </w:pPr>
          </w:p>
        </w:tc>
      </w:tr>
      <w:tr w14:paraId="375145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tcBorders>
              <w:tl2br w:val="nil"/>
              <w:tr2bl w:val="nil"/>
            </w:tcBorders>
            <w:shd w:val="clear" w:color="auto" w:fill="auto"/>
            <w:noWrap/>
            <w:vAlign w:val="center"/>
          </w:tcPr>
          <w:p w14:paraId="1ABEBA1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松桃河</w:t>
            </w:r>
          </w:p>
        </w:tc>
        <w:tc>
          <w:tcPr>
            <w:tcW w:w="677" w:type="pct"/>
            <w:tcBorders>
              <w:tl2br w:val="nil"/>
              <w:tr2bl w:val="nil"/>
            </w:tcBorders>
            <w:shd w:val="clear" w:color="auto" w:fill="auto"/>
            <w:noWrap/>
            <w:vAlign w:val="center"/>
          </w:tcPr>
          <w:p w14:paraId="389C17A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铜仁市</w:t>
            </w:r>
          </w:p>
        </w:tc>
        <w:tc>
          <w:tcPr>
            <w:tcW w:w="686" w:type="pct"/>
            <w:tcBorders>
              <w:tl2br w:val="nil"/>
              <w:tr2bl w:val="nil"/>
            </w:tcBorders>
            <w:shd w:val="clear" w:color="auto" w:fill="auto"/>
            <w:noWrap/>
            <w:vAlign w:val="center"/>
          </w:tcPr>
          <w:p w14:paraId="5605938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465.93 </w:t>
            </w:r>
          </w:p>
        </w:tc>
        <w:tc>
          <w:tcPr>
            <w:tcW w:w="686" w:type="pct"/>
            <w:tcBorders>
              <w:tl2br w:val="nil"/>
              <w:tr2bl w:val="nil"/>
            </w:tcBorders>
            <w:shd w:val="clear" w:color="auto" w:fill="auto"/>
            <w:noWrap/>
            <w:vAlign w:val="center"/>
          </w:tcPr>
          <w:p w14:paraId="50FD881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252.50 </w:t>
            </w:r>
          </w:p>
        </w:tc>
        <w:tc>
          <w:tcPr>
            <w:tcW w:w="713" w:type="pct"/>
            <w:tcBorders>
              <w:tl2br w:val="nil"/>
              <w:tr2bl w:val="nil"/>
            </w:tcBorders>
            <w:shd w:val="clear" w:color="auto" w:fill="auto"/>
            <w:noWrap/>
            <w:vAlign w:val="center"/>
          </w:tcPr>
          <w:p w14:paraId="6374503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69.67 </w:t>
            </w:r>
          </w:p>
        </w:tc>
        <w:tc>
          <w:tcPr>
            <w:tcW w:w="667" w:type="pct"/>
            <w:tcBorders>
              <w:tl2br w:val="nil"/>
              <w:tr2bl w:val="nil"/>
            </w:tcBorders>
            <w:shd w:val="clear" w:color="auto" w:fill="auto"/>
            <w:noWrap/>
            <w:vAlign w:val="center"/>
          </w:tcPr>
          <w:p w14:paraId="0707857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72.18 </w:t>
            </w:r>
          </w:p>
        </w:tc>
        <w:tc>
          <w:tcPr>
            <w:tcW w:w="674" w:type="pct"/>
            <w:tcBorders>
              <w:tl2br w:val="nil"/>
              <w:tr2bl w:val="nil"/>
            </w:tcBorders>
            <w:shd w:val="clear" w:color="auto" w:fill="auto"/>
            <w:noWrap/>
            <w:vAlign w:val="center"/>
          </w:tcPr>
          <w:p w14:paraId="27373F3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2.51 </w:t>
            </w:r>
          </w:p>
        </w:tc>
      </w:tr>
      <w:tr w14:paraId="629B59E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66D4B5D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樟江</w:t>
            </w:r>
          </w:p>
        </w:tc>
        <w:tc>
          <w:tcPr>
            <w:tcW w:w="677" w:type="pct"/>
            <w:tcBorders>
              <w:tl2br w:val="nil"/>
              <w:tr2bl w:val="nil"/>
            </w:tcBorders>
            <w:shd w:val="clear" w:color="auto" w:fill="auto"/>
            <w:noWrap/>
            <w:vAlign w:val="center"/>
          </w:tcPr>
          <w:p w14:paraId="65CE7EF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86" w:type="pct"/>
            <w:tcBorders>
              <w:tl2br w:val="nil"/>
              <w:tr2bl w:val="nil"/>
            </w:tcBorders>
            <w:shd w:val="clear" w:color="auto" w:fill="auto"/>
            <w:noWrap/>
            <w:vAlign w:val="center"/>
          </w:tcPr>
          <w:p w14:paraId="23A65AE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0.77 </w:t>
            </w:r>
          </w:p>
        </w:tc>
        <w:tc>
          <w:tcPr>
            <w:tcW w:w="686" w:type="pct"/>
            <w:tcBorders>
              <w:tl2br w:val="nil"/>
              <w:tr2bl w:val="nil"/>
            </w:tcBorders>
            <w:shd w:val="clear" w:color="auto" w:fill="auto"/>
            <w:noWrap/>
            <w:vAlign w:val="center"/>
          </w:tcPr>
          <w:p w14:paraId="78E4BA1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0.77 </w:t>
            </w:r>
          </w:p>
        </w:tc>
        <w:tc>
          <w:tcPr>
            <w:tcW w:w="713" w:type="pct"/>
            <w:vMerge w:val="restart"/>
            <w:tcBorders>
              <w:tl2br w:val="nil"/>
              <w:tr2bl w:val="nil"/>
            </w:tcBorders>
            <w:shd w:val="clear" w:color="auto" w:fill="auto"/>
            <w:noWrap/>
            <w:vAlign w:val="center"/>
          </w:tcPr>
          <w:p w14:paraId="385DEEC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85.00 </w:t>
            </w:r>
          </w:p>
        </w:tc>
        <w:tc>
          <w:tcPr>
            <w:tcW w:w="667" w:type="pct"/>
            <w:vMerge w:val="restart"/>
            <w:tcBorders>
              <w:tl2br w:val="nil"/>
              <w:tr2bl w:val="nil"/>
            </w:tcBorders>
            <w:shd w:val="clear" w:color="auto" w:fill="auto"/>
            <w:noWrap/>
            <w:vAlign w:val="center"/>
          </w:tcPr>
          <w:p w14:paraId="5AA245E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85.97 </w:t>
            </w:r>
          </w:p>
        </w:tc>
        <w:tc>
          <w:tcPr>
            <w:tcW w:w="674" w:type="pct"/>
            <w:vMerge w:val="restart"/>
            <w:tcBorders>
              <w:tl2br w:val="nil"/>
              <w:tr2bl w:val="nil"/>
            </w:tcBorders>
            <w:shd w:val="clear" w:color="auto" w:fill="auto"/>
            <w:noWrap/>
            <w:vAlign w:val="center"/>
          </w:tcPr>
          <w:p w14:paraId="33B5F72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0.97 </w:t>
            </w:r>
          </w:p>
        </w:tc>
      </w:tr>
      <w:tr w14:paraId="4A77A1F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318D847A">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165284F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86" w:type="pct"/>
            <w:tcBorders>
              <w:tl2br w:val="nil"/>
              <w:tr2bl w:val="nil"/>
            </w:tcBorders>
            <w:shd w:val="clear" w:color="auto" w:fill="auto"/>
            <w:noWrap/>
            <w:vAlign w:val="center"/>
          </w:tcPr>
          <w:p w14:paraId="5E67774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458.07 </w:t>
            </w:r>
          </w:p>
        </w:tc>
        <w:tc>
          <w:tcPr>
            <w:tcW w:w="686" w:type="pct"/>
            <w:tcBorders>
              <w:tl2br w:val="nil"/>
              <w:tr2bl w:val="nil"/>
            </w:tcBorders>
            <w:shd w:val="clear" w:color="auto" w:fill="auto"/>
            <w:noWrap/>
            <w:vAlign w:val="center"/>
          </w:tcPr>
          <w:p w14:paraId="013C8BB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110.51 </w:t>
            </w:r>
          </w:p>
        </w:tc>
        <w:tc>
          <w:tcPr>
            <w:tcW w:w="713" w:type="pct"/>
            <w:vMerge w:val="continue"/>
            <w:tcBorders>
              <w:tl2br w:val="nil"/>
              <w:tr2bl w:val="nil"/>
            </w:tcBorders>
            <w:shd w:val="clear" w:color="auto" w:fill="auto"/>
            <w:noWrap/>
            <w:vAlign w:val="center"/>
          </w:tcPr>
          <w:p w14:paraId="0260962D">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4BAD9EA1">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408B2663">
            <w:pPr>
              <w:jc w:val="center"/>
              <w:rPr>
                <w:rFonts w:hint="default" w:ascii="Times New Roman" w:hAnsi="Times New Roman" w:eastAsia="宋体" w:cs="Times New Roman"/>
                <w:i w:val="0"/>
                <w:iCs w:val="0"/>
                <w:color w:val="auto"/>
                <w:sz w:val="22"/>
                <w:szCs w:val="22"/>
                <w:u w:val="none"/>
              </w:rPr>
            </w:pPr>
          </w:p>
        </w:tc>
      </w:tr>
      <w:tr w14:paraId="64E61E4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79DEE02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赤水河</w:t>
            </w:r>
          </w:p>
        </w:tc>
        <w:tc>
          <w:tcPr>
            <w:tcW w:w="677" w:type="pct"/>
            <w:tcBorders>
              <w:tl2br w:val="nil"/>
              <w:tr2bl w:val="nil"/>
            </w:tcBorders>
            <w:shd w:val="clear" w:color="auto" w:fill="auto"/>
            <w:noWrap/>
            <w:vAlign w:val="center"/>
          </w:tcPr>
          <w:p w14:paraId="62974EC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86" w:type="pct"/>
            <w:tcBorders>
              <w:tl2br w:val="nil"/>
              <w:tr2bl w:val="nil"/>
            </w:tcBorders>
            <w:shd w:val="clear" w:color="auto" w:fill="auto"/>
            <w:noWrap/>
            <w:vAlign w:val="center"/>
          </w:tcPr>
          <w:p w14:paraId="78B2AD9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2141.88 </w:t>
            </w:r>
          </w:p>
        </w:tc>
        <w:tc>
          <w:tcPr>
            <w:tcW w:w="686" w:type="pct"/>
            <w:tcBorders>
              <w:tl2br w:val="nil"/>
              <w:tr2bl w:val="nil"/>
            </w:tcBorders>
            <w:shd w:val="clear" w:color="auto" w:fill="auto"/>
            <w:noWrap/>
            <w:vAlign w:val="center"/>
          </w:tcPr>
          <w:p w14:paraId="20F69DC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519.23 </w:t>
            </w:r>
          </w:p>
        </w:tc>
        <w:tc>
          <w:tcPr>
            <w:tcW w:w="713" w:type="pct"/>
            <w:vMerge w:val="restart"/>
            <w:tcBorders>
              <w:tl2br w:val="nil"/>
              <w:tr2bl w:val="nil"/>
            </w:tcBorders>
            <w:shd w:val="clear" w:color="auto" w:fill="auto"/>
            <w:noWrap/>
            <w:vAlign w:val="center"/>
          </w:tcPr>
          <w:p w14:paraId="4FABD39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73.67 </w:t>
            </w:r>
          </w:p>
        </w:tc>
        <w:tc>
          <w:tcPr>
            <w:tcW w:w="667" w:type="pct"/>
            <w:vMerge w:val="restart"/>
            <w:tcBorders>
              <w:tl2br w:val="nil"/>
              <w:tr2bl w:val="nil"/>
            </w:tcBorders>
            <w:shd w:val="clear" w:color="auto" w:fill="auto"/>
            <w:noWrap/>
            <w:vAlign w:val="center"/>
          </w:tcPr>
          <w:p w14:paraId="396C478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75.89 </w:t>
            </w:r>
          </w:p>
        </w:tc>
        <w:tc>
          <w:tcPr>
            <w:tcW w:w="674" w:type="pct"/>
            <w:vMerge w:val="restart"/>
            <w:tcBorders>
              <w:tl2br w:val="nil"/>
              <w:tr2bl w:val="nil"/>
            </w:tcBorders>
            <w:shd w:val="clear" w:color="auto" w:fill="auto"/>
            <w:noWrap/>
            <w:vAlign w:val="center"/>
          </w:tcPr>
          <w:p w14:paraId="4BD0BAF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2.22 </w:t>
            </w:r>
          </w:p>
        </w:tc>
      </w:tr>
      <w:tr w14:paraId="3A3958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194C26A0">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1FD2043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86" w:type="pct"/>
            <w:tcBorders>
              <w:tl2br w:val="nil"/>
              <w:tr2bl w:val="nil"/>
            </w:tcBorders>
            <w:shd w:val="clear" w:color="auto" w:fill="auto"/>
            <w:noWrap/>
            <w:vAlign w:val="center"/>
          </w:tcPr>
          <w:p w14:paraId="6549182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862.43 </w:t>
            </w:r>
          </w:p>
        </w:tc>
        <w:tc>
          <w:tcPr>
            <w:tcW w:w="686" w:type="pct"/>
            <w:tcBorders>
              <w:tl2br w:val="nil"/>
              <w:tr2bl w:val="nil"/>
            </w:tcBorders>
            <w:shd w:val="clear" w:color="auto" w:fill="auto"/>
            <w:noWrap/>
            <w:vAlign w:val="center"/>
          </w:tcPr>
          <w:p w14:paraId="4F7E155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209.18 </w:t>
            </w:r>
          </w:p>
        </w:tc>
        <w:tc>
          <w:tcPr>
            <w:tcW w:w="713" w:type="pct"/>
            <w:vMerge w:val="continue"/>
            <w:tcBorders>
              <w:tl2br w:val="nil"/>
              <w:tr2bl w:val="nil"/>
            </w:tcBorders>
            <w:shd w:val="clear" w:color="auto" w:fill="auto"/>
            <w:noWrap/>
            <w:vAlign w:val="center"/>
          </w:tcPr>
          <w:p w14:paraId="4B3C189F">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211176B1">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0E2C3A4A">
            <w:pPr>
              <w:jc w:val="center"/>
              <w:rPr>
                <w:rFonts w:hint="default" w:ascii="Times New Roman" w:hAnsi="Times New Roman" w:eastAsia="宋体" w:cs="Times New Roman"/>
                <w:i w:val="0"/>
                <w:iCs w:val="0"/>
                <w:color w:val="auto"/>
                <w:sz w:val="22"/>
                <w:szCs w:val="22"/>
                <w:u w:val="none"/>
              </w:rPr>
            </w:pPr>
          </w:p>
        </w:tc>
      </w:tr>
      <w:tr w14:paraId="61B5075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64EE42F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麻沙河</w:t>
            </w:r>
          </w:p>
        </w:tc>
        <w:tc>
          <w:tcPr>
            <w:tcW w:w="677" w:type="pct"/>
            <w:tcBorders>
              <w:tl2br w:val="nil"/>
              <w:tr2bl w:val="nil"/>
            </w:tcBorders>
            <w:shd w:val="clear" w:color="auto" w:fill="auto"/>
            <w:noWrap/>
            <w:vAlign w:val="center"/>
          </w:tcPr>
          <w:p w14:paraId="5DA468B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86" w:type="pct"/>
            <w:tcBorders>
              <w:tl2br w:val="nil"/>
              <w:tr2bl w:val="nil"/>
            </w:tcBorders>
            <w:shd w:val="clear" w:color="auto" w:fill="auto"/>
            <w:noWrap/>
            <w:vAlign w:val="center"/>
          </w:tcPr>
          <w:p w14:paraId="3DA0FE7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0.03 </w:t>
            </w:r>
          </w:p>
        </w:tc>
        <w:tc>
          <w:tcPr>
            <w:tcW w:w="686" w:type="pct"/>
            <w:tcBorders>
              <w:tl2br w:val="nil"/>
              <w:tr2bl w:val="nil"/>
            </w:tcBorders>
            <w:shd w:val="clear" w:color="auto" w:fill="auto"/>
            <w:noWrap/>
            <w:vAlign w:val="center"/>
          </w:tcPr>
          <w:p w14:paraId="08474B8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0.03 </w:t>
            </w:r>
          </w:p>
        </w:tc>
        <w:tc>
          <w:tcPr>
            <w:tcW w:w="713" w:type="pct"/>
            <w:vMerge w:val="restart"/>
            <w:tcBorders>
              <w:tl2br w:val="nil"/>
              <w:tr2bl w:val="nil"/>
            </w:tcBorders>
            <w:shd w:val="clear" w:color="auto" w:fill="auto"/>
            <w:noWrap/>
            <w:vAlign w:val="center"/>
          </w:tcPr>
          <w:p w14:paraId="7B75138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71.18 </w:t>
            </w:r>
          </w:p>
        </w:tc>
        <w:tc>
          <w:tcPr>
            <w:tcW w:w="667" w:type="pct"/>
            <w:vMerge w:val="restart"/>
            <w:tcBorders>
              <w:tl2br w:val="nil"/>
              <w:tr2bl w:val="nil"/>
            </w:tcBorders>
            <w:shd w:val="clear" w:color="auto" w:fill="auto"/>
            <w:noWrap/>
            <w:vAlign w:val="center"/>
          </w:tcPr>
          <w:p w14:paraId="6A610A1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72.54 </w:t>
            </w:r>
          </w:p>
        </w:tc>
        <w:tc>
          <w:tcPr>
            <w:tcW w:w="674" w:type="pct"/>
            <w:vMerge w:val="restart"/>
            <w:tcBorders>
              <w:tl2br w:val="nil"/>
              <w:tr2bl w:val="nil"/>
            </w:tcBorders>
            <w:shd w:val="clear" w:color="auto" w:fill="auto"/>
            <w:noWrap/>
            <w:vAlign w:val="center"/>
          </w:tcPr>
          <w:p w14:paraId="3FBB298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1.36 </w:t>
            </w:r>
          </w:p>
        </w:tc>
      </w:tr>
      <w:tr w14:paraId="5740C9B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675E88F7">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38FEF8E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86" w:type="pct"/>
            <w:tcBorders>
              <w:tl2br w:val="nil"/>
              <w:tr2bl w:val="nil"/>
            </w:tcBorders>
            <w:shd w:val="clear" w:color="auto" w:fill="auto"/>
            <w:noWrap/>
            <w:vAlign w:val="center"/>
          </w:tcPr>
          <w:p w14:paraId="4F4C72A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413.21 </w:t>
            </w:r>
          </w:p>
        </w:tc>
        <w:tc>
          <w:tcPr>
            <w:tcW w:w="686" w:type="pct"/>
            <w:tcBorders>
              <w:tl2br w:val="nil"/>
              <w:tr2bl w:val="nil"/>
            </w:tcBorders>
            <w:shd w:val="clear" w:color="auto" w:fill="auto"/>
            <w:noWrap/>
            <w:vAlign w:val="center"/>
          </w:tcPr>
          <w:p w14:paraId="7907504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99.77 </w:t>
            </w:r>
          </w:p>
        </w:tc>
        <w:tc>
          <w:tcPr>
            <w:tcW w:w="713" w:type="pct"/>
            <w:vMerge w:val="continue"/>
            <w:tcBorders>
              <w:tl2br w:val="nil"/>
              <w:tr2bl w:val="nil"/>
            </w:tcBorders>
            <w:shd w:val="clear" w:color="auto" w:fill="auto"/>
            <w:noWrap/>
            <w:vAlign w:val="center"/>
          </w:tcPr>
          <w:p w14:paraId="15785597">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53B84DDF">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297E6114">
            <w:pPr>
              <w:jc w:val="center"/>
              <w:rPr>
                <w:rFonts w:hint="default" w:ascii="Times New Roman" w:hAnsi="Times New Roman" w:eastAsia="宋体" w:cs="Times New Roman"/>
                <w:i w:val="0"/>
                <w:iCs w:val="0"/>
                <w:color w:val="auto"/>
                <w:sz w:val="22"/>
                <w:szCs w:val="22"/>
                <w:u w:val="none"/>
              </w:rPr>
            </w:pPr>
          </w:p>
        </w:tc>
      </w:tr>
      <w:tr w14:paraId="0622E5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tcBorders>
              <w:tl2br w:val="nil"/>
              <w:tr2bl w:val="nil"/>
            </w:tcBorders>
            <w:shd w:val="clear" w:color="auto" w:fill="auto"/>
            <w:noWrap/>
            <w:vAlign w:val="center"/>
          </w:tcPr>
          <w:p w14:paraId="4023A5B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水城河</w:t>
            </w:r>
          </w:p>
        </w:tc>
        <w:tc>
          <w:tcPr>
            <w:tcW w:w="677" w:type="pct"/>
            <w:tcBorders>
              <w:tl2br w:val="nil"/>
              <w:tr2bl w:val="nil"/>
            </w:tcBorders>
            <w:shd w:val="clear" w:color="auto" w:fill="auto"/>
            <w:noWrap/>
            <w:vAlign w:val="center"/>
          </w:tcPr>
          <w:p w14:paraId="423FB7B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14:paraId="615262F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60.02 </w:t>
            </w:r>
          </w:p>
        </w:tc>
        <w:tc>
          <w:tcPr>
            <w:tcW w:w="686" w:type="pct"/>
            <w:tcBorders>
              <w:tl2br w:val="nil"/>
              <w:tr2bl w:val="nil"/>
            </w:tcBorders>
            <w:shd w:val="clear" w:color="auto" w:fill="auto"/>
            <w:noWrap/>
            <w:vAlign w:val="center"/>
          </w:tcPr>
          <w:p w14:paraId="343D8A1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14.49 </w:t>
            </w:r>
          </w:p>
        </w:tc>
        <w:tc>
          <w:tcPr>
            <w:tcW w:w="713" w:type="pct"/>
            <w:tcBorders>
              <w:tl2br w:val="nil"/>
              <w:tr2bl w:val="nil"/>
            </w:tcBorders>
            <w:shd w:val="clear" w:color="auto" w:fill="auto"/>
            <w:noWrap/>
            <w:vAlign w:val="center"/>
          </w:tcPr>
          <w:p w14:paraId="1F24D05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67.73 </w:t>
            </w:r>
          </w:p>
        </w:tc>
        <w:tc>
          <w:tcPr>
            <w:tcW w:w="667" w:type="pct"/>
            <w:tcBorders>
              <w:tl2br w:val="nil"/>
              <w:tr2bl w:val="nil"/>
            </w:tcBorders>
            <w:shd w:val="clear" w:color="auto" w:fill="auto"/>
            <w:noWrap/>
            <w:vAlign w:val="center"/>
          </w:tcPr>
          <w:p w14:paraId="6DCE839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69.21 </w:t>
            </w:r>
          </w:p>
        </w:tc>
        <w:tc>
          <w:tcPr>
            <w:tcW w:w="674" w:type="pct"/>
            <w:tcBorders>
              <w:tl2br w:val="nil"/>
              <w:tr2bl w:val="nil"/>
            </w:tcBorders>
            <w:shd w:val="clear" w:color="auto" w:fill="auto"/>
            <w:noWrap/>
            <w:vAlign w:val="center"/>
          </w:tcPr>
          <w:p w14:paraId="394861F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1.48 </w:t>
            </w:r>
          </w:p>
        </w:tc>
      </w:tr>
      <w:tr w14:paraId="26B2635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228C7BF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野纪河</w:t>
            </w:r>
          </w:p>
        </w:tc>
        <w:tc>
          <w:tcPr>
            <w:tcW w:w="677" w:type="pct"/>
            <w:tcBorders>
              <w:tl2br w:val="nil"/>
              <w:tr2bl w:val="nil"/>
            </w:tcBorders>
            <w:shd w:val="clear" w:color="auto" w:fill="auto"/>
            <w:noWrap/>
            <w:vAlign w:val="center"/>
          </w:tcPr>
          <w:p w14:paraId="7405DBC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86" w:type="pct"/>
            <w:tcBorders>
              <w:tl2br w:val="nil"/>
              <w:tr2bl w:val="nil"/>
            </w:tcBorders>
            <w:shd w:val="clear" w:color="auto" w:fill="auto"/>
            <w:noWrap/>
            <w:vAlign w:val="center"/>
          </w:tcPr>
          <w:p w14:paraId="2DF5BC7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649.77 </w:t>
            </w:r>
          </w:p>
        </w:tc>
        <w:tc>
          <w:tcPr>
            <w:tcW w:w="686" w:type="pct"/>
            <w:tcBorders>
              <w:tl2br w:val="nil"/>
              <w:tr2bl w:val="nil"/>
            </w:tcBorders>
            <w:shd w:val="clear" w:color="auto" w:fill="auto"/>
            <w:noWrap/>
            <w:vAlign w:val="center"/>
          </w:tcPr>
          <w:p w14:paraId="662338C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156.88 </w:t>
            </w:r>
          </w:p>
        </w:tc>
        <w:tc>
          <w:tcPr>
            <w:tcW w:w="713" w:type="pct"/>
            <w:vMerge w:val="restart"/>
            <w:tcBorders>
              <w:tl2br w:val="nil"/>
              <w:tr2bl w:val="nil"/>
            </w:tcBorders>
            <w:shd w:val="clear" w:color="auto" w:fill="auto"/>
            <w:noWrap/>
            <w:vAlign w:val="center"/>
          </w:tcPr>
          <w:p w14:paraId="427C43A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70.52 </w:t>
            </w:r>
          </w:p>
        </w:tc>
        <w:tc>
          <w:tcPr>
            <w:tcW w:w="667" w:type="pct"/>
            <w:vMerge w:val="restart"/>
            <w:tcBorders>
              <w:tl2br w:val="nil"/>
              <w:tr2bl w:val="nil"/>
            </w:tcBorders>
            <w:shd w:val="clear" w:color="auto" w:fill="auto"/>
            <w:noWrap/>
            <w:vAlign w:val="center"/>
          </w:tcPr>
          <w:p w14:paraId="51B832D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72.20 </w:t>
            </w:r>
          </w:p>
        </w:tc>
        <w:tc>
          <w:tcPr>
            <w:tcW w:w="674" w:type="pct"/>
            <w:vMerge w:val="restart"/>
            <w:tcBorders>
              <w:tl2br w:val="nil"/>
              <w:tr2bl w:val="nil"/>
            </w:tcBorders>
            <w:shd w:val="clear" w:color="auto" w:fill="auto"/>
            <w:noWrap/>
            <w:vAlign w:val="center"/>
          </w:tcPr>
          <w:p w14:paraId="087C0C9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1.68 </w:t>
            </w:r>
          </w:p>
        </w:tc>
      </w:tr>
      <w:tr w14:paraId="40D9F3B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55A7CCE2">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71F8B01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86" w:type="pct"/>
            <w:tcBorders>
              <w:tl2br w:val="nil"/>
              <w:tr2bl w:val="nil"/>
            </w:tcBorders>
            <w:shd w:val="clear" w:color="auto" w:fill="auto"/>
            <w:noWrap/>
            <w:vAlign w:val="center"/>
          </w:tcPr>
          <w:p w14:paraId="6A69BEC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0.01 </w:t>
            </w:r>
          </w:p>
        </w:tc>
        <w:tc>
          <w:tcPr>
            <w:tcW w:w="686" w:type="pct"/>
            <w:tcBorders>
              <w:tl2br w:val="nil"/>
              <w:tr2bl w:val="nil"/>
            </w:tcBorders>
            <w:shd w:val="clear" w:color="auto" w:fill="auto"/>
            <w:noWrap/>
            <w:vAlign w:val="center"/>
          </w:tcPr>
          <w:p w14:paraId="5F10DDB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0.01 </w:t>
            </w:r>
          </w:p>
        </w:tc>
        <w:tc>
          <w:tcPr>
            <w:tcW w:w="713" w:type="pct"/>
            <w:vMerge w:val="continue"/>
            <w:tcBorders>
              <w:tl2br w:val="nil"/>
              <w:tr2bl w:val="nil"/>
            </w:tcBorders>
            <w:shd w:val="clear" w:color="auto" w:fill="auto"/>
            <w:noWrap/>
            <w:vAlign w:val="center"/>
          </w:tcPr>
          <w:p w14:paraId="106C53FF">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20F93F7B">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544DA0BB">
            <w:pPr>
              <w:jc w:val="center"/>
              <w:rPr>
                <w:rFonts w:hint="default" w:ascii="Times New Roman" w:hAnsi="Times New Roman" w:eastAsia="宋体" w:cs="Times New Roman"/>
                <w:i w:val="0"/>
                <w:iCs w:val="0"/>
                <w:color w:val="auto"/>
                <w:sz w:val="22"/>
                <w:szCs w:val="22"/>
                <w:u w:val="none"/>
              </w:rPr>
            </w:pPr>
          </w:p>
        </w:tc>
      </w:tr>
      <w:tr w14:paraId="59E6706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tcBorders>
              <w:tl2br w:val="nil"/>
              <w:tr2bl w:val="nil"/>
            </w:tcBorders>
            <w:shd w:val="clear" w:color="auto" w:fill="auto"/>
            <w:noWrap/>
            <w:vAlign w:val="center"/>
          </w:tcPr>
          <w:p w14:paraId="0F92A57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草海</w:t>
            </w:r>
          </w:p>
        </w:tc>
        <w:tc>
          <w:tcPr>
            <w:tcW w:w="677" w:type="pct"/>
            <w:tcBorders>
              <w:tl2br w:val="nil"/>
              <w:tr2bl w:val="nil"/>
            </w:tcBorders>
            <w:shd w:val="clear" w:color="auto" w:fill="auto"/>
            <w:noWrap/>
            <w:vAlign w:val="center"/>
          </w:tcPr>
          <w:p w14:paraId="2DD433D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86" w:type="pct"/>
            <w:tcBorders>
              <w:tl2br w:val="nil"/>
              <w:tr2bl w:val="nil"/>
            </w:tcBorders>
            <w:shd w:val="clear" w:color="auto" w:fill="auto"/>
            <w:noWrap/>
            <w:vAlign w:val="center"/>
          </w:tcPr>
          <w:p w14:paraId="7D04199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180.66 </w:t>
            </w:r>
          </w:p>
        </w:tc>
        <w:tc>
          <w:tcPr>
            <w:tcW w:w="686" w:type="pct"/>
            <w:tcBorders>
              <w:tl2br w:val="nil"/>
              <w:tr2bl w:val="nil"/>
            </w:tcBorders>
            <w:shd w:val="clear" w:color="auto" w:fill="auto"/>
            <w:noWrap/>
            <w:vAlign w:val="center"/>
          </w:tcPr>
          <w:p w14:paraId="19E2F6C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43.62 </w:t>
            </w:r>
          </w:p>
        </w:tc>
        <w:tc>
          <w:tcPr>
            <w:tcW w:w="713" w:type="pct"/>
            <w:tcBorders>
              <w:tl2br w:val="nil"/>
              <w:tr2bl w:val="nil"/>
            </w:tcBorders>
            <w:shd w:val="clear" w:color="auto" w:fill="auto"/>
            <w:noWrap/>
            <w:vAlign w:val="center"/>
          </w:tcPr>
          <w:p w14:paraId="5B308A8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56.99 </w:t>
            </w:r>
          </w:p>
        </w:tc>
        <w:tc>
          <w:tcPr>
            <w:tcW w:w="667" w:type="pct"/>
            <w:tcBorders>
              <w:tl2br w:val="nil"/>
              <w:tr2bl w:val="nil"/>
            </w:tcBorders>
            <w:shd w:val="clear" w:color="auto" w:fill="auto"/>
            <w:noWrap/>
            <w:vAlign w:val="center"/>
          </w:tcPr>
          <w:p w14:paraId="34465A2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58.75 </w:t>
            </w:r>
          </w:p>
        </w:tc>
        <w:tc>
          <w:tcPr>
            <w:tcW w:w="674" w:type="pct"/>
            <w:tcBorders>
              <w:tl2br w:val="nil"/>
              <w:tr2bl w:val="nil"/>
            </w:tcBorders>
            <w:shd w:val="clear" w:color="auto" w:fill="auto"/>
            <w:noWrap/>
            <w:vAlign w:val="center"/>
          </w:tcPr>
          <w:p w14:paraId="48E2AE9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1.76 </w:t>
            </w:r>
          </w:p>
        </w:tc>
      </w:tr>
      <w:tr w14:paraId="7ACDC94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77FBDAD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六冲河</w:t>
            </w:r>
          </w:p>
        </w:tc>
        <w:tc>
          <w:tcPr>
            <w:tcW w:w="677" w:type="pct"/>
            <w:tcBorders>
              <w:tl2br w:val="nil"/>
              <w:tr2bl w:val="nil"/>
            </w:tcBorders>
            <w:shd w:val="clear" w:color="auto" w:fill="auto"/>
            <w:noWrap/>
            <w:vAlign w:val="center"/>
          </w:tcPr>
          <w:p w14:paraId="0A8B990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86" w:type="pct"/>
            <w:tcBorders>
              <w:tl2br w:val="nil"/>
              <w:tr2bl w:val="nil"/>
            </w:tcBorders>
            <w:shd w:val="clear" w:color="auto" w:fill="auto"/>
            <w:noWrap/>
            <w:vAlign w:val="center"/>
          </w:tcPr>
          <w:p w14:paraId="4A0E93F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3751.35 </w:t>
            </w:r>
          </w:p>
        </w:tc>
        <w:tc>
          <w:tcPr>
            <w:tcW w:w="686" w:type="pct"/>
            <w:tcBorders>
              <w:tl2br w:val="nil"/>
              <w:tr2bl w:val="nil"/>
            </w:tcBorders>
            <w:shd w:val="clear" w:color="auto" w:fill="auto"/>
            <w:noWrap/>
            <w:vAlign w:val="center"/>
          </w:tcPr>
          <w:p w14:paraId="47D24E8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905.73 </w:t>
            </w:r>
          </w:p>
        </w:tc>
        <w:tc>
          <w:tcPr>
            <w:tcW w:w="713" w:type="pct"/>
            <w:vMerge w:val="restart"/>
            <w:tcBorders>
              <w:tl2br w:val="nil"/>
              <w:tr2bl w:val="nil"/>
            </w:tcBorders>
            <w:shd w:val="clear" w:color="auto" w:fill="auto"/>
            <w:noWrap/>
            <w:vAlign w:val="center"/>
          </w:tcPr>
          <w:p w14:paraId="342FCBE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62.24 </w:t>
            </w:r>
          </w:p>
        </w:tc>
        <w:tc>
          <w:tcPr>
            <w:tcW w:w="667" w:type="pct"/>
            <w:vMerge w:val="restart"/>
            <w:tcBorders>
              <w:tl2br w:val="nil"/>
              <w:tr2bl w:val="nil"/>
            </w:tcBorders>
            <w:shd w:val="clear" w:color="auto" w:fill="auto"/>
            <w:noWrap/>
            <w:vAlign w:val="center"/>
          </w:tcPr>
          <w:p w14:paraId="1B02C2F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64.73 </w:t>
            </w:r>
          </w:p>
        </w:tc>
        <w:tc>
          <w:tcPr>
            <w:tcW w:w="674" w:type="pct"/>
            <w:vMerge w:val="restart"/>
            <w:tcBorders>
              <w:tl2br w:val="nil"/>
              <w:tr2bl w:val="nil"/>
            </w:tcBorders>
            <w:shd w:val="clear" w:color="auto" w:fill="auto"/>
            <w:noWrap/>
            <w:vAlign w:val="center"/>
          </w:tcPr>
          <w:p w14:paraId="7E84578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2.49 </w:t>
            </w:r>
          </w:p>
        </w:tc>
      </w:tr>
      <w:tr w14:paraId="594BE33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36A64123">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1AA1588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14:paraId="2DAED88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20.20 </w:t>
            </w:r>
          </w:p>
        </w:tc>
        <w:tc>
          <w:tcPr>
            <w:tcW w:w="686" w:type="pct"/>
            <w:tcBorders>
              <w:tl2br w:val="nil"/>
              <w:tr2bl w:val="nil"/>
            </w:tcBorders>
            <w:shd w:val="clear" w:color="auto" w:fill="auto"/>
            <w:noWrap/>
            <w:vAlign w:val="center"/>
          </w:tcPr>
          <w:p w14:paraId="7C9CD53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4.88 </w:t>
            </w:r>
          </w:p>
        </w:tc>
        <w:tc>
          <w:tcPr>
            <w:tcW w:w="713" w:type="pct"/>
            <w:vMerge w:val="continue"/>
            <w:tcBorders>
              <w:tl2br w:val="nil"/>
              <w:tr2bl w:val="nil"/>
            </w:tcBorders>
            <w:shd w:val="clear" w:color="auto" w:fill="auto"/>
            <w:noWrap/>
            <w:vAlign w:val="center"/>
          </w:tcPr>
          <w:p w14:paraId="31D7B8FE">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02946B24">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3B0A27E2">
            <w:pPr>
              <w:jc w:val="center"/>
              <w:rPr>
                <w:rFonts w:hint="default" w:ascii="Times New Roman" w:hAnsi="Times New Roman" w:eastAsia="宋体" w:cs="Times New Roman"/>
                <w:i w:val="0"/>
                <w:iCs w:val="0"/>
                <w:color w:val="auto"/>
                <w:sz w:val="22"/>
                <w:szCs w:val="22"/>
                <w:u w:val="none"/>
              </w:rPr>
            </w:pPr>
          </w:p>
        </w:tc>
      </w:tr>
      <w:tr w14:paraId="0F5C66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restart"/>
            <w:tcBorders>
              <w:tl2br w:val="nil"/>
              <w:tr2bl w:val="nil"/>
            </w:tcBorders>
            <w:shd w:val="clear" w:color="auto" w:fill="auto"/>
            <w:noWrap/>
            <w:vAlign w:val="center"/>
          </w:tcPr>
          <w:p w14:paraId="2218BB7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三岔河</w:t>
            </w:r>
          </w:p>
        </w:tc>
        <w:tc>
          <w:tcPr>
            <w:tcW w:w="677" w:type="pct"/>
            <w:tcBorders>
              <w:tl2br w:val="nil"/>
              <w:tr2bl w:val="nil"/>
            </w:tcBorders>
            <w:shd w:val="clear" w:color="auto" w:fill="auto"/>
            <w:noWrap/>
            <w:vAlign w:val="center"/>
          </w:tcPr>
          <w:p w14:paraId="44AAD2F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86" w:type="pct"/>
            <w:tcBorders>
              <w:tl2br w:val="nil"/>
              <w:tr2bl w:val="nil"/>
            </w:tcBorders>
            <w:shd w:val="clear" w:color="auto" w:fill="auto"/>
            <w:noWrap/>
            <w:vAlign w:val="center"/>
          </w:tcPr>
          <w:p w14:paraId="3E64D90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1376.58 </w:t>
            </w:r>
          </w:p>
        </w:tc>
        <w:tc>
          <w:tcPr>
            <w:tcW w:w="686" w:type="pct"/>
            <w:tcBorders>
              <w:tl2br w:val="nil"/>
              <w:tr2bl w:val="nil"/>
            </w:tcBorders>
            <w:shd w:val="clear" w:color="auto" w:fill="auto"/>
            <w:noWrap/>
            <w:vAlign w:val="center"/>
          </w:tcPr>
          <w:p w14:paraId="35E4479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332.36 </w:t>
            </w:r>
          </w:p>
        </w:tc>
        <w:tc>
          <w:tcPr>
            <w:tcW w:w="713" w:type="pct"/>
            <w:vMerge w:val="restart"/>
            <w:tcBorders>
              <w:tl2br w:val="nil"/>
              <w:tr2bl w:val="nil"/>
            </w:tcBorders>
            <w:shd w:val="clear" w:color="auto" w:fill="auto"/>
            <w:noWrap/>
            <w:vAlign w:val="center"/>
          </w:tcPr>
          <w:p w14:paraId="0DEFD73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66.06 </w:t>
            </w:r>
          </w:p>
        </w:tc>
        <w:tc>
          <w:tcPr>
            <w:tcW w:w="667" w:type="pct"/>
            <w:vMerge w:val="restart"/>
            <w:tcBorders>
              <w:tl2br w:val="nil"/>
              <w:tr2bl w:val="nil"/>
            </w:tcBorders>
            <w:shd w:val="clear" w:color="auto" w:fill="auto"/>
            <w:noWrap/>
            <w:vAlign w:val="center"/>
          </w:tcPr>
          <w:p w14:paraId="239F22C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67.86 </w:t>
            </w:r>
          </w:p>
        </w:tc>
        <w:tc>
          <w:tcPr>
            <w:tcW w:w="674" w:type="pct"/>
            <w:vMerge w:val="restart"/>
            <w:tcBorders>
              <w:tl2br w:val="nil"/>
              <w:tr2bl w:val="nil"/>
            </w:tcBorders>
            <w:shd w:val="clear" w:color="auto" w:fill="auto"/>
            <w:noWrap/>
            <w:vAlign w:val="center"/>
          </w:tcPr>
          <w:p w14:paraId="5A3E0FE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1.80 </w:t>
            </w:r>
          </w:p>
        </w:tc>
      </w:tr>
      <w:tr w14:paraId="45A3EF8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0CB48755">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2FB6452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86" w:type="pct"/>
            <w:tcBorders>
              <w:tl2br w:val="nil"/>
              <w:tr2bl w:val="nil"/>
            </w:tcBorders>
            <w:shd w:val="clear" w:color="auto" w:fill="auto"/>
            <w:noWrap/>
            <w:vAlign w:val="center"/>
          </w:tcPr>
          <w:p w14:paraId="05B7E8B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607.21 </w:t>
            </w:r>
          </w:p>
        </w:tc>
        <w:tc>
          <w:tcPr>
            <w:tcW w:w="686" w:type="pct"/>
            <w:tcBorders>
              <w:tl2br w:val="nil"/>
              <w:tr2bl w:val="nil"/>
            </w:tcBorders>
            <w:shd w:val="clear" w:color="auto" w:fill="auto"/>
            <w:noWrap/>
            <w:vAlign w:val="center"/>
          </w:tcPr>
          <w:p w14:paraId="6DE9631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146.61 </w:t>
            </w:r>
          </w:p>
        </w:tc>
        <w:tc>
          <w:tcPr>
            <w:tcW w:w="713" w:type="pct"/>
            <w:vMerge w:val="continue"/>
            <w:tcBorders>
              <w:tl2br w:val="nil"/>
              <w:tr2bl w:val="nil"/>
            </w:tcBorders>
            <w:shd w:val="clear" w:color="auto" w:fill="auto"/>
            <w:noWrap/>
            <w:vAlign w:val="center"/>
          </w:tcPr>
          <w:p w14:paraId="2F8AA5DF">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55614520">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208A8338">
            <w:pPr>
              <w:jc w:val="center"/>
              <w:rPr>
                <w:rFonts w:hint="default" w:ascii="Times New Roman" w:hAnsi="Times New Roman" w:eastAsia="宋体" w:cs="Times New Roman"/>
                <w:i w:val="0"/>
                <w:iCs w:val="0"/>
                <w:color w:val="auto"/>
                <w:sz w:val="22"/>
                <w:szCs w:val="22"/>
                <w:u w:val="none"/>
              </w:rPr>
            </w:pPr>
          </w:p>
        </w:tc>
      </w:tr>
      <w:tr w14:paraId="7642C78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37D4791A">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432C407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86" w:type="pct"/>
            <w:tcBorders>
              <w:tl2br w:val="nil"/>
              <w:tr2bl w:val="nil"/>
            </w:tcBorders>
            <w:shd w:val="clear" w:color="auto" w:fill="auto"/>
            <w:noWrap/>
            <w:vAlign w:val="center"/>
          </w:tcPr>
          <w:p w14:paraId="2355016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428.36 </w:t>
            </w:r>
          </w:p>
        </w:tc>
        <w:tc>
          <w:tcPr>
            <w:tcW w:w="686" w:type="pct"/>
            <w:tcBorders>
              <w:tl2br w:val="nil"/>
              <w:tr2bl w:val="nil"/>
            </w:tcBorders>
            <w:shd w:val="clear" w:color="auto" w:fill="auto"/>
            <w:noWrap/>
            <w:vAlign w:val="center"/>
          </w:tcPr>
          <w:p w14:paraId="513A676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103.42 </w:t>
            </w:r>
          </w:p>
        </w:tc>
        <w:tc>
          <w:tcPr>
            <w:tcW w:w="713" w:type="pct"/>
            <w:vMerge w:val="continue"/>
            <w:tcBorders>
              <w:tl2br w:val="nil"/>
              <w:tr2bl w:val="nil"/>
            </w:tcBorders>
            <w:shd w:val="clear" w:color="auto" w:fill="auto"/>
            <w:noWrap/>
            <w:vAlign w:val="center"/>
          </w:tcPr>
          <w:p w14:paraId="3C5731C5">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753EBE8B">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174F33FB">
            <w:pPr>
              <w:jc w:val="center"/>
              <w:rPr>
                <w:rFonts w:hint="default" w:ascii="Times New Roman" w:hAnsi="Times New Roman" w:eastAsia="宋体" w:cs="Times New Roman"/>
                <w:i w:val="0"/>
                <w:iCs w:val="0"/>
                <w:color w:val="auto"/>
                <w:sz w:val="22"/>
                <w:szCs w:val="22"/>
                <w:u w:val="none"/>
              </w:rPr>
            </w:pPr>
          </w:p>
        </w:tc>
      </w:tr>
      <w:tr w14:paraId="287043C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895" w:type="pct"/>
            <w:vMerge w:val="continue"/>
            <w:tcBorders>
              <w:tl2br w:val="nil"/>
              <w:tr2bl w:val="nil"/>
            </w:tcBorders>
            <w:shd w:val="clear" w:color="auto" w:fill="auto"/>
            <w:noWrap/>
            <w:vAlign w:val="center"/>
          </w:tcPr>
          <w:p w14:paraId="3E98F825">
            <w:pPr>
              <w:jc w:val="center"/>
              <w:rPr>
                <w:rFonts w:hint="default" w:ascii="Times New Roman" w:hAnsi="Times New Roman" w:eastAsia="宋体" w:cs="Times New Roman"/>
                <w:i w:val="0"/>
                <w:iCs w:val="0"/>
                <w:color w:val="auto"/>
                <w:sz w:val="22"/>
                <w:szCs w:val="22"/>
                <w:u w:val="none"/>
              </w:rPr>
            </w:pPr>
          </w:p>
        </w:tc>
        <w:tc>
          <w:tcPr>
            <w:tcW w:w="677" w:type="pct"/>
            <w:tcBorders>
              <w:tl2br w:val="nil"/>
              <w:tr2bl w:val="nil"/>
            </w:tcBorders>
            <w:shd w:val="clear" w:color="auto" w:fill="auto"/>
            <w:noWrap/>
            <w:vAlign w:val="center"/>
          </w:tcPr>
          <w:p w14:paraId="1FD8D6C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86" w:type="pct"/>
            <w:tcBorders>
              <w:tl2br w:val="nil"/>
              <w:tr2bl w:val="nil"/>
            </w:tcBorders>
            <w:shd w:val="clear" w:color="auto" w:fill="auto"/>
            <w:noWrap/>
            <w:vAlign w:val="center"/>
          </w:tcPr>
          <w:p w14:paraId="3B89F69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53.00 </w:t>
            </w:r>
          </w:p>
        </w:tc>
        <w:tc>
          <w:tcPr>
            <w:tcW w:w="686" w:type="pct"/>
            <w:tcBorders>
              <w:tl2br w:val="nil"/>
              <w:tr2bl w:val="nil"/>
            </w:tcBorders>
            <w:shd w:val="clear" w:color="auto" w:fill="auto"/>
            <w:noWrap/>
            <w:vAlign w:val="center"/>
          </w:tcPr>
          <w:p w14:paraId="1252164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12.80 </w:t>
            </w:r>
          </w:p>
        </w:tc>
        <w:tc>
          <w:tcPr>
            <w:tcW w:w="713" w:type="pct"/>
            <w:vMerge w:val="continue"/>
            <w:tcBorders>
              <w:tl2br w:val="nil"/>
              <w:tr2bl w:val="nil"/>
            </w:tcBorders>
            <w:shd w:val="clear" w:color="auto" w:fill="auto"/>
            <w:noWrap/>
            <w:vAlign w:val="center"/>
          </w:tcPr>
          <w:p w14:paraId="5F68A4D5">
            <w:pPr>
              <w:jc w:val="center"/>
              <w:rPr>
                <w:rFonts w:hint="default" w:ascii="Times New Roman" w:hAnsi="Times New Roman" w:eastAsia="宋体" w:cs="Times New Roman"/>
                <w:i w:val="0"/>
                <w:iCs w:val="0"/>
                <w:color w:val="auto"/>
                <w:sz w:val="22"/>
                <w:szCs w:val="22"/>
                <w:u w:val="none"/>
              </w:rPr>
            </w:pPr>
          </w:p>
        </w:tc>
        <w:tc>
          <w:tcPr>
            <w:tcW w:w="667" w:type="pct"/>
            <w:vMerge w:val="continue"/>
            <w:tcBorders>
              <w:tl2br w:val="nil"/>
              <w:tr2bl w:val="nil"/>
            </w:tcBorders>
            <w:shd w:val="clear" w:color="auto" w:fill="auto"/>
            <w:noWrap/>
            <w:vAlign w:val="center"/>
          </w:tcPr>
          <w:p w14:paraId="05D2EBCD">
            <w:pPr>
              <w:jc w:val="center"/>
              <w:rPr>
                <w:rFonts w:hint="default" w:ascii="Times New Roman" w:hAnsi="Times New Roman" w:eastAsia="宋体" w:cs="Times New Roman"/>
                <w:i w:val="0"/>
                <w:iCs w:val="0"/>
                <w:color w:val="auto"/>
                <w:sz w:val="22"/>
                <w:szCs w:val="22"/>
                <w:u w:val="none"/>
              </w:rPr>
            </w:pPr>
          </w:p>
        </w:tc>
        <w:tc>
          <w:tcPr>
            <w:tcW w:w="674" w:type="pct"/>
            <w:vMerge w:val="continue"/>
            <w:tcBorders>
              <w:tl2br w:val="nil"/>
              <w:tr2bl w:val="nil"/>
            </w:tcBorders>
            <w:shd w:val="clear" w:color="auto" w:fill="auto"/>
            <w:noWrap/>
            <w:vAlign w:val="center"/>
          </w:tcPr>
          <w:p w14:paraId="67621C29">
            <w:pPr>
              <w:jc w:val="center"/>
              <w:rPr>
                <w:rFonts w:hint="default" w:ascii="Times New Roman" w:hAnsi="Times New Roman" w:eastAsia="宋体" w:cs="Times New Roman"/>
                <w:i w:val="0"/>
                <w:iCs w:val="0"/>
                <w:color w:val="auto"/>
                <w:sz w:val="22"/>
                <w:szCs w:val="22"/>
                <w:u w:val="none"/>
              </w:rPr>
            </w:pPr>
          </w:p>
        </w:tc>
      </w:tr>
    </w:tbl>
    <w:p w14:paraId="264F0335">
      <w:pPr>
        <w:pStyle w:val="18"/>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宋体" w:cs="Times New Roman"/>
          <w:b/>
          <w:bCs/>
          <w:color w:val="auto"/>
          <w:sz w:val="28"/>
          <w:szCs w:val="28"/>
          <w:lang w:val="en-US" w:eastAsia="zh-CN"/>
        </w:rPr>
      </w:pPr>
    </w:p>
    <w:p w14:paraId="18E7EE57">
      <w:pPr>
        <w:pStyle w:val="18"/>
        <w:ind w:left="0" w:leftChars="0" w:firstLine="0" w:firstLineChars="0"/>
        <w:rPr>
          <w:rFonts w:hint="eastAsia" w:ascii="Times New Roman" w:hAnsi="Times New Roman" w:eastAsia="宋体" w:cs="Times New Roman"/>
          <w:color w:val="auto"/>
          <w:kern w:val="0"/>
          <w:szCs w:val="20"/>
          <w:lang w:val="en-US" w:eastAsia="zh-CN"/>
        </w:rPr>
      </w:pP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24"/>
        <w:gridCol w:w="1152"/>
        <w:gridCol w:w="1183"/>
        <w:gridCol w:w="1161"/>
        <w:gridCol w:w="1212"/>
        <w:gridCol w:w="1135"/>
        <w:gridCol w:w="1152"/>
      </w:tblGrid>
      <w:tr w14:paraId="5232B13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14:paraId="2ABDC19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水系</w:t>
            </w:r>
          </w:p>
        </w:tc>
        <w:tc>
          <w:tcPr>
            <w:tcW w:w="2051" w:type="pct"/>
            <w:gridSpan w:val="3"/>
            <w:tcBorders>
              <w:tl2br w:val="nil"/>
              <w:tr2bl w:val="nil"/>
            </w:tcBorders>
            <w:shd w:val="clear" w:color="auto" w:fill="auto"/>
            <w:noWrap/>
            <w:vAlign w:val="center"/>
          </w:tcPr>
          <w:p w14:paraId="5021F5B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水土流失面积（km²）</w:t>
            </w:r>
          </w:p>
        </w:tc>
        <w:tc>
          <w:tcPr>
            <w:tcW w:w="2053" w:type="pct"/>
            <w:gridSpan w:val="3"/>
            <w:tcBorders>
              <w:tl2br w:val="nil"/>
              <w:tr2bl w:val="nil"/>
            </w:tcBorders>
            <w:shd w:val="clear" w:color="auto" w:fill="auto"/>
            <w:noWrap/>
            <w:vAlign w:val="center"/>
          </w:tcPr>
          <w:p w14:paraId="3B84584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水土保持率（%）</w:t>
            </w:r>
          </w:p>
        </w:tc>
      </w:tr>
      <w:tr w14:paraId="123CAC3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779E5BB4">
            <w:pPr>
              <w:jc w:val="center"/>
              <w:rPr>
                <w:rFonts w:hint="default" w:ascii="Times New Roman" w:hAnsi="Times New Roman" w:eastAsia="宋体" w:cs="Times New Roman"/>
                <w:b/>
                <w:bCs/>
                <w:i w:val="0"/>
                <w:iCs w:val="0"/>
                <w:color w:val="auto"/>
                <w:sz w:val="22"/>
                <w:szCs w:val="22"/>
                <w:u w:val="none"/>
              </w:rPr>
            </w:pPr>
          </w:p>
        </w:tc>
        <w:tc>
          <w:tcPr>
            <w:tcW w:w="676" w:type="pct"/>
            <w:tcBorders>
              <w:tl2br w:val="nil"/>
              <w:tr2bl w:val="nil"/>
            </w:tcBorders>
            <w:shd w:val="clear" w:color="auto" w:fill="auto"/>
            <w:noWrap/>
            <w:vAlign w:val="center"/>
          </w:tcPr>
          <w:p w14:paraId="061E6BD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市（州）</w:t>
            </w:r>
          </w:p>
        </w:tc>
        <w:tc>
          <w:tcPr>
            <w:tcW w:w="694" w:type="pct"/>
            <w:tcBorders>
              <w:tl2br w:val="nil"/>
              <w:tr2bl w:val="nil"/>
            </w:tcBorders>
            <w:shd w:val="clear" w:color="auto" w:fill="auto"/>
            <w:noWrap/>
            <w:vAlign w:val="center"/>
          </w:tcPr>
          <w:p w14:paraId="5D9EFDA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水土流失</w:t>
            </w:r>
          </w:p>
        </w:tc>
        <w:tc>
          <w:tcPr>
            <w:tcW w:w="680" w:type="pct"/>
            <w:tcBorders>
              <w:tl2br w:val="nil"/>
              <w:tr2bl w:val="nil"/>
            </w:tcBorders>
            <w:shd w:val="clear" w:color="auto" w:fill="auto"/>
            <w:noWrap/>
            <w:vAlign w:val="center"/>
          </w:tcPr>
          <w:p w14:paraId="11C146E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治理面积</w:t>
            </w:r>
          </w:p>
        </w:tc>
        <w:tc>
          <w:tcPr>
            <w:tcW w:w="711" w:type="pct"/>
            <w:tcBorders>
              <w:tl2br w:val="nil"/>
              <w:tr2bl w:val="nil"/>
            </w:tcBorders>
            <w:shd w:val="clear" w:color="auto" w:fill="auto"/>
            <w:noWrap/>
            <w:vAlign w:val="center"/>
          </w:tcPr>
          <w:p w14:paraId="771200C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2020年</w:t>
            </w:r>
          </w:p>
        </w:tc>
        <w:tc>
          <w:tcPr>
            <w:tcW w:w="666" w:type="pct"/>
            <w:tcBorders>
              <w:tl2br w:val="nil"/>
              <w:tr2bl w:val="nil"/>
            </w:tcBorders>
            <w:shd w:val="clear" w:color="auto" w:fill="auto"/>
            <w:noWrap/>
            <w:vAlign w:val="center"/>
          </w:tcPr>
          <w:p w14:paraId="024D047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2025年</w:t>
            </w:r>
          </w:p>
        </w:tc>
        <w:tc>
          <w:tcPr>
            <w:tcW w:w="676" w:type="pct"/>
            <w:tcBorders>
              <w:tl2br w:val="nil"/>
              <w:tr2bl w:val="nil"/>
            </w:tcBorders>
            <w:shd w:val="clear" w:color="auto" w:fill="auto"/>
            <w:noWrap/>
            <w:vAlign w:val="center"/>
          </w:tcPr>
          <w:p w14:paraId="37BCEF2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提高值</w:t>
            </w:r>
          </w:p>
        </w:tc>
      </w:tr>
      <w:tr w14:paraId="7215E3B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14:paraId="5669A39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湘江</w:t>
            </w:r>
          </w:p>
        </w:tc>
        <w:tc>
          <w:tcPr>
            <w:tcW w:w="676" w:type="pct"/>
            <w:tcBorders>
              <w:tl2br w:val="nil"/>
              <w:tr2bl w:val="nil"/>
            </w:tcBorders>
            <w:shd w:val="clear" w:color="auto" w:fill="auto"/>
            <w:noWrap/>
            <w:vAlign w:val="center"/>
          </w:tcPr>
          <w:p w14:paraId="0C6EDB3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94" w:type="pct"/>
            <w:tcBorders>
              <w:tl2br w:val="nil"/>
              <w:tr2bl w:val="nil"/>
            </w:tcBorders>
            <w:shd w:val="clear" w:color="auto" w:fill="auto"/>
            <w:noWrap/>
            <w:vAlign w:val="center"/>
          </w:tcPr>
          <w:p w14:paraId="7C0F1B1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1150.46 </w:t>
            </w:r>
          </w:p>
        </w:tc>
        <w:tc>
          <w:tcPr>
            <w:tcW w:w="680" w:type="pct"/>
            <w:tcBorders>
              <w:tl2br w:val="nil"/>
              <w:tr2bl w:val="nil"/>
            </w:tcBorders>
            <w:shd w:val="clear" w:color="auto" w:fill="auto"/>
            <w:noWrap/>
            <w:vAlign w:val="center"/>
          </w:tcPr>
          <w:p w14:paraId="6BBF2DC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277.77 </w:t>
            </w:r>
          </w:p>
        </w:tc>
        <w:tc>
          <w:tcPr>
            <w:tcW w:w="711" w:type="pct"/>
            <w:vMerge w:val="restart"/>
            <w:tcBorders>
              <w:tl2br w:val="nil"/>
              <w:tr2bl w:val="nil"/>
            </w:tcBorders>
            <w:shd w:val="clear" w:color="auto" w:fill="auto"/>
            <w:noWrap/>
            <w:vAlign w:val="center"/>
          </w:tcPr>
          <w:p w14:paraId="1DE917B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76.34 </w:t>
            </w:r>
          </w:p>
        </w:tc>
        <w:tc>
          <w:tcPr>
            <w:tcW w:w="666" w:type="pct"/>
            <w:vMerge w:val="restart"/>
            <w:tcBorders>
              <w:tl2br w:val="nil"/>
              <w:tr2bl w:val="nil"/>
            </w:tcBorders>
            <w:shd w:val="clear" w:color="auto" w:fill="auto"/>
            <w:noWrap/>
            <w:vAlign w:val="center"/>
          </w:tcPr>
          <w:p w14:paraId="53D4DBE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77.59 </w:t>
            </w:r>
          </w:p>
        </w:tc>
        <w:tc>
          <w:tcPr>
            <w:tcW w:w="676" w:type="pct"/>
            <w:vMerge w:val="restart"/>
            <w:tcBorders>
              <w:tl2br w:val="nil"/>
              <w:tr2bl w:val="nil"/>
            </w:tcBorders>
            <w:shd w:val="clear" w:color="auto" w:fill="auto"/>
            <w:noWrap/>
            <w:vAlign w:val="center"/>
          </w:tcPr>
          <w:p w14:paraId="58D0F67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1.25 </w:t>
            </w:r>
          </w:p>
        </w:tc>
      </w:tr>
      <w:tr w14:paraId="0660FF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3C31286A">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3CCE258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94" w:type="pct"/>
            <w:tcBorders>
              <w:tl2br w:val="nil"/>
              <w:tr2bl w:val="nil"/>
            </w:tcBorders>
            <w:shd w:val="clear" w:color="auto" w:fill="auto"/>
            <w:noWrap/>
            <w:vAlign w:val="center"/>
          </w:tcPr>
          <w:p w14:paraId="7792AA2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0.01 </w:t>
            </w:r>
          </w:p>
        </w:tc>
        <w:tc>
          <w:tcPr>
            <w:tcW w:w="680" w:type="pct"/>
            <w:tcBorders>
              <w:tl2br w:val="nil"/>
              <w:tr2bl w:val="nil"/>
            </w:tcBorders>
            <w:shd w:val="clear" w:color="auto" w:fill="auto"/>
            <w:noWrap/>
            <w:vAlign w:val="center"/>
          </w:tcPr>
          <w:p w14:paraId="6D914CE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0.01 </w:t>
            </w:r>
          </w:p>
        </w:tc>
        <w:tc>
          <w:tcPr>
            <w:tcW w:w="711" w:type="pct"/>
            <w:vMerge w:val="continue"/>
            <w:tcBorders>
              <w:tl2br w:val="nil"/>
              <w:tr2bl w:val="nil"/>
            </w:tcBorders>
            <w:shd w:val="clear" w:color="auto" w:fill="auto"/>
            <w:noWrap/>
            <w:vAlign w:val="center"/>
          </w:tcPr>
          <w:p w14:paraId="2855C11A">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302AB131">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065051BB">
            <w:pPr>
              <w:jc w:val="center"/>
              <w:rPr>
                <w:rFonts w:hint="default" w:ascii="Times New Roman" w:hAnsi="Times New Roman" w:eastAsia="宋体" w:cs="Times New Roman"/>
                <w:i w:val="0"/>
                <w:iCs w:val="0"/>
                <w:color w:val="auto"/>
                <w:sz w:val="22"/>
                <w:szCs w:val="22"/>
                <w:u w:val="none"/>
              </w:rPr>
            </w:pPr>
          </w:p>
        </w:tc>
      </w:tr>
      <w:tr w14:paraId="580214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1B9F9398">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7DE3D3F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94" w:type="pct"/>
            <w:tcBorders>
              <w:tl2br w:val="nil"/>
              <w:tr2bl w:val="nil"/>
            </w:tcBorders>
            <w:shd w:val="clear" w:color="auto" w:fill="auto"/>
            <w:noWrap/>
            <w:vAlign w:val="center"/>
          </w:tcPr>
          <w:p w14:paraId="3872802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12.19 </w:t>
            </w:r>
          </w:p>
        </w:tc>
        <w:tc>
          <w:tcPr>
            <w:tcW w:w="680" w:type="pct"/>
            <w:tcBorders>
              <w:tl2br w:val="nil"/>
              <w:tr2bl w:val="nil"/>
            </w:tcBorders>
            <w:shd w:val="clear" w:color="auto" w:fill="auto"/>
            <w:noWrap/>
            <w:vAlign w:val="center"/>
          </w:tcPr>
          <w:p w14:paraId="784BB82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2.94 </w:t>
            </w:r>
          </w:p>
        </w:tc>
        <w:tc>
          <w:tcPr>
            <w:tcW w:w="711" w:type="pct"/>
            <w:vMerge w:val="continue"/>
            <w:tcBorders>
              <w:tl2br w:val="nil"/>
              <w:tr2bl w:val="nil"/>
            </w:tcBorders>
            <w:shd w:val="clear" w:color="auto" w:fill="auto"/>
            <w:noWrap/>
            <w:vAlign w:val="center"/>
          </w:tcPr>
          <w:p w14:paraId="278FD596">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2CCB6F08">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576B6506">
            <w:pPr>
              <w:jc w:val="center"/>
              <w:rPr>
                <w:rFonts w:hint="default" w:ascii="Times New Roman" w:hAnsi="Times New Roman" w:eastAsia="宋体" w:cs="Times New Roman"/>
                <w:i w:val="0"/>
                <w:iCs w:val="0"/>
                <w:color w:val="auto"/>
                <w:sz w:val="22"/>
                <w:szCs w:val="22"/>
                <w:u w:val="none"/>
              </w:rPr>
            </w:pPr>
          </w:p>
        </w:tc>
      </w:tr>
      <w:tr w14:paraId="4A1D313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14:paraId="36BA715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北盘江</w:t>
            </w:r>
          </w:p>
        </w:tc>
        <w:tc>
          <w:tcPr>
            <w:tcW w:w="676" w:type="pct"/>
            <w:tcBorders>
              <w:tl2br w:val="nil"/>
              <w:tr2bl w:val="nil"/>
            </w:tcBorders>
            <w:shd w:val="clear" w:color="auto" w:fill="auto"/>
            <w:noWrap/>
            <w:vAlign w:val="center"/>
          </w:tcPr>
          <w:p w14:paraId="041EF75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黔西南州</w:t>
            </w:r>
          </w:p>
        </w:tc>
        <w:tc>
          <w:tcPr>
            <w:tcW w:w="694" w:type="pct"/>
            <w:tcBorders>
              <w:tl2br w:val="nil"/>
              <w:tr2bl w:val="nil"/>
            </w:tcBorders>
            <w:shd w:val="clear" w:color="auto" w:fill="auto"/>
            <w:noWrap/>
            <w:vAlign w:val="center"/>
          </w:tcPr>
          <w:p w14:paraId="03D1AA0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2438.37 </w:t>
            </w:r>
          </w:p>
        </w:tc>
        <w:tc>
          <w:tcPr>
            <w:tcW w:w="680" w:type="pct"/>
            <w:tcBorders>
              <w:tl2br w:val="nil"/>
              <w:tr2bl w:val="nil"/>
            </w:tcBorders>
            <w:shd w:val="clear" w:color="auto" w:fill="auto"/>
            <w:noWrap/>
            <w:vAlign w:val="center"/>
          </w:tcPr>
          <w:p w14:paraId="0664F55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638.48 </w:t>
            </w:r>
          </w:p>
        </w:tc>
        <w:tc>
          <w:tcPr>
            <w:tcW w:w="711" w:type="pct"/>
            <w:vMerge w:val="restart"/>
            <w:tcBorders>
              <w:tl2br w:val="nil"/>
              <w:tr2bl w:val="nil"/>
            </w:tcBorders>
            <w:shd w:val="clear" w:color="auto" w:fill="auto"/>
            <w:noWrap/>
            <w:vAlign w:val="center"/>
          </w:tcPr>
          <w:p w14:paraId="5486B19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67.40 </w:t>
            </w:r>
          </w:p>
        </w:tc>
        <w:tc>
          <w:tcPr>
            <w:tcW w:w="666" w:type="pct"/>
            <w:vMerge w:val="restart"/>
            <w:tcBorders>
              <w:tl2br w:val="nil"/>
              <w:tr2bl w:val="nil"/>
            </w:tcBorders>
            <w:shd w:val="clear" w:color="auto" w:fill="auto"/>
            <w:noWrap/>
            <w:vAlign w:val="center"/>
          </w:tcPr>
          <w:p w14:paraId="2831E62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69.80 </w:t>
            </w:r>
          </w:p>
        </w:tc>
        <w:tc>
          <w:tcPr>
            <w:tcW w:w="676" w:type="pct"/>
            <w:vMerge w:val="restart"/>
            <w:tcBorders>
              <w:tl2br w:val="nil"/>
              <w:tr2bl w:val="nil"/>
            </w:tcBorders>
            <w:shd w:val="clear" w:color="auto" w:fill="auto"/>
            <w:noWrap/>
            <w:vAlign w:val="center"/>
          </w:tcPr>
          <w:p w14:paraId="0C65712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2.40 </w:t>
            </w:r>
          </w:p>
        </w:tc>
      </w:tr>
      <w:tr w14:paraId="6E9B5D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6EC9B388">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54AAD80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94" w:type="pct"/>
            <w:tcBorders>
              <w:tl2br w:val="nil"/>
              <w:tr2bl w:val="nil"/>
            </w:tcBorders>
            <w:shd w:val="clear" w:color="auto" w:fill="auto"/>
            <w:noWrap/>
            <w:vAlign w:val="center"/>
          </w:tcPr>
          <w:p w14:paraId="78CE474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1263.96 </w:t>
            </w:r>
          </w:p>
        </w:tc>
        <w:tc>
          <w:tcPr>
            <w:tcW w:w="680" w:type="pct"/>
            <w:tcBorders>
              <w:tl2br w:val="nil"/>
              <w:tr2bl w:val="nil"/>
            </w:tcBorders>
            <w:shd w:val="clear" w:color="auto" w:fill="auto"/>
            <w:noWrap/>
            <w:vAlign w:val="center"/>
          </w:tcPr>
          <w:p w14:paraId="7F67CB3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195.17 </w:t>
            </w:r>
          </w:p>
        </w:tc>
        <w:tc>
          <w:tcPr>
            <w:tcW w:w="711" w:type="pct"/>
            <w:vMerge w:val="continue"/>
            <w:tcBorders>
              <w:tl2br w:val="nil"/>
              <w:tr2bl w:val="nil"/>
            </w:tcBorders>
            <w:shd w:val="clear" w:color="auto" w:fill="auto"/>
            <w:noWrap/>
            <w:vAlign w:val="center"/>
          </w:tcPr>
          <w:p w14:paraId="54021FAF">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0B81E13D">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2482EA8D">
            <w:pPr>
              <w:jc w:val="center"/>
              <w:rPr>
                <w:rFonts w:hint="default" w:ascii="Times New Roman" w:hAnsi="Times New Roman" w:eastAsia="宋体" w:cs="Times New Roman"/>
                <w:i w:val="0"/>
                <w:iCs w:val="0"/>
                <w:color w:val="auto"/>
                <w:sz w:val="22"/>
                <w:szCs w:val="22"/>
                <w:u w:val="none"/>
              </w:rPr>
            </w:pPr>
          </w:p>
        </w:tc>
      </w:tr>
      <w:tr w14:paraId="278E6F9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259761A2">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0F5CF02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94" w:type="pct"/>
            <w:tcBorders>
              <w:tl2br w:val="nil"/>
              <w:tr2bl w:val="nil"/>
            </w:tcBorders>
            <w:shd w:val="clear" w:color="auto" w:fill="auto"/>
            <w:noWrap/>
            <w:vAlign w:val="center"/>
          </w:tcPr>
          <w:p w14:paraId="3FEDC3D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2137.40 </w:t>
            </w:r>
          </w:p>
        </w:tc>
        <w:tc>
          <w:tcPr>
            <w:tcW w:w="680" w:type="pct"/>
            <w:tcBorders>
              <w:tl2br w:val="nil"/>
              <w:tr2bl w:val="nil"/>
            </w:tcBorders>
            <w:shd w:val="clear" w:color="auto" w:fill="auto"/>
            <w:noWrap/>
            <w:vAlign w:val="center"/>
          </w:tcPr>
          <w:p w14:paraId="0477271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531.08 </w:t>
            </w:r>
          </w:p>
        </w:tc>
        <w:tc>
          <w:tcPr>
            <w:tcW w:w="711" w:type="pct"/>
            <w:vMerge w:val="continue"/>
            <w:tcBorders>
              <w:tl2br w:val="nil"/>
              <w:tr2bl w:val="nil"/>
            </w:tcBorders>
            <w:shd w:val="clear" w:color="auto" w:fill="auto"/>
            <w:noWrap/>
            <w:vAlign w:val="center"/>
          </w:tcPr>
          <w:p w14:paraId="4E3968B0">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3773B4E1">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3040274A">
            <w:pPr>
              <w:jc w:val="center"/>
              <w:rPr>
                <w:rFonts w:hint="default" w:ascii="Times New Roman" w:hAnsi="Times New Roman" w:eastAsia="宋体" w:cs="Times New Roman"/>
                <w:i w:val="0"/>
                <w:iCs w:val="0"/>
                <w:color w:val="auto"/>
                <w:sz w:val="22"/>
                <w:szCs w:val="22"/>
                <w:u w:val="none"/>
              </w:rPr>
            </w:pPr>
          </w:p>
        </w:tc>
      </w:tr>
      <w:tr w14:paraId="060D44B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58400225">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1FE7F09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94" w:type="pct"/>
            <w:tcBorders>
              <w:tl2br w:val="nil"/>
              <w:tr2bl w:val="nil"/>
            </w:tcBorders>
            <w:shd w:val="clear" w:color="auto" w:fill="auto"/>
            <w:noWrap/>
            <w:vAlign w:val="center"/>
          </w:tcPr>
          <w:p w14:paraId="6A1149D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580.02 </w:t>
            </w:r>
          </w:p>
        </w:tc>
        <w:tc>
          <w:tcPr>
            <w:tcW w:w="680" w:type="pct"/>
            <w:tcBorders>
              <w:tl2br w:val="nil"/>
              <w:tr2bl w:val="nil"/>
            </w:tcBorders>
            <w:shd w:val="clear" w:color="auto" w:fill="auto"/>
            <w:noWrap/>
            <w:vAlign w:val="center"/>
          </w:tcPr>
          <w:p w14:paraId="13506B5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140.04 </w:t>
            </w:r>
          </w:p>
        </w:tc>
        <w:tc>
          <w:tcPr>
            <w:tcW w:w="711" w:type="pct"/>
            <w:vMerge w:val="continue"/>
            <w:tcBorders>
              <w:tl2br w:val="nil"/>
              <w:tr2bl w:val="nil"/>
            </w:tcBorders>
            <w:shd w:val="clear" w:color="auto" w:fill="auto"/>
            <w:noWrap/>
            <w:vAlign w:val="center"/>
          </w:tcPr>
          <w:p w14:paraId="2E2DCCDB">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6FA9F67E">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2FB941D1">
            <w:pPr>
              <w:jc w:val="center"/>
              <w:rPr>
                <w:rFonts w:hint="default" w:ascii="Times New Roman" w:hAnsi="Times New Roman" w:eastAsia="宋体" w:cs="Times New Roman"/>
                <w:i w:val="0"/>
                <w:iCs w:val="0"/>
                <w:color w:val="auto"/>
                <w:sz w:val="22"/>
                <w:szCs w:val="22"/>
                <w:u w:val="none"/>
              </w:rPr>
            </w:pPr>
          </w:p>
        </w:tc>
      </w:tr>
      <w:tr w14:paraId="71F1F8F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14:paraId="5039C22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涟江</w:t>
            </w:r>
          </w:p>
        </w:tc>
        <w:tc>
          <w:tcPr>
            <w:tcW w:w="676" w:type="pct"/>
            <w:tcBorders>
              <w:tl2br w:val="nil"/>
              <w:tr2bl w:val="nil"/>
            </w:tcBorders>
            <w:shd w:val="clear" w:color="auto" w:fill="auto"/>
            <w:noWrap/>
            <w:vAlign w:val="center"/>
          </w:tcPr>
          <w:p w14:paraId="52779FB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94" w:type="pct"/>
            <w:tcBorders>
              <w:tl2br w:val="nil"/>
              <w:tr2bl w:val="nil"/>
            </w:tcBorders>
            <w:shd w:val="clear" w:color="auto" w:fill="auto"/>
            <w:noWrap/>
            <w:vAlign w:val="center"/>
          </w:tcPr>
          <w:p w14:paraId="0E2499B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35.70 </w:t>
            </w:r>
          </w:p>
        </w:tc>
        <w:tc>
          <w:tcPr>
            <w:tcW w:w="680" w:type="pct"/>
            <w:tcBorders>
              <w:tl2br w:val="nil"/>
              <w:tr2bl w:val="nil"/>
            </w:tcBorders>
            <w:shd w:val="clear" w:color="auto" w:fill="auto"/>
            <w:noWrap/>
            <w:vAlign w:val="center"/>
          </w:tcPr>
          <w:p w14:paraId="17F4B5F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8.62 </w:t>
            </w:r>
          </w:p>
        </w:tc>
        <w:tc>
          <w:tcPr>
            <w:tcW w:w="711" w:type="pct"/>
            <w:vMerge w:val="restart"/>
            <w:tcBorders>
              <w:tl2br w:val="nil"/>
              <w:tr2bl w:val="nil"/>
            </w:tcBorders>
            <w:shd w:val="clear" w:color="auto" w:fill="auto"/>
            <w:noWrap/>
            <w:vAlign w:val="center"/>
          </w:tcPr>
          <w:p w14:paraId="033F99B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75.69 </w:t>
            </w:r>
          </w:p>
        </w:tc>
        <w:tc>
          <w:tcPr>
            <w:tcW w:w="666" w:type="pct"/>
            <w:vMerge w:val="restart"/>
            <w:tcBorders>
              <w:tl2br w:val="nil"/>
              <w:tr2bl w:val="nil"/>
            </w:tcBorders>
            <w:shd w:val="clear" w:color="auto" w:fill="auto"/>
            <w:noWrap/>
            <w:vAlign w:val="center"/>
          </w:tcPr>
          <w:p w14:paraId="64F5264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76.77 </w:t>
            </w:r>
          </w:p>
        </w:tc>
        <w:tc>
          <w:tcPr>
            <w:tcW w:w="676" w:type="pct"/>
            <w:vMerge w:val="restart"/>
            <w:tcBorders>
              <w:tl2br w:val="nil"/>
              <w:tr2bl w:val="nil"/>
            </w:tcBorders>
            <w:shd w:val="clear" w:color="auto" w:fill="auto"/>
            <w:noWrap/>
            <w:vAlign w:val="center"/>
          </w:tcPr>
          <w:p w14:paraId="1CB9524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1.08 </w:t>
            </w:r>
          </w:p>
        </w:tc>
      </w:tr>
      <w:tr w14:paraId="2103E2B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4EFFAA9E">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749AB8C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94" w:type="pct"/>
            <w:tcBorders>
              <w:tl2br w:val="nil"/>
              <w:tr2bl w:val="nil"/>
            </w:tcBorders>
            <w:shd w:val="clear" w:color="auto" w:fill="auto"/>
            <w:noWrap/>
            <w:vAlign w:val="center"/>
          </w:tcPr>
          <w:p w14:paraId="7620139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531.86 </w:t>
            </w:r>
          </w:p>
        </w:tc>
        <w:tc>
          <w:tcPr>
            <w:tcW w:w="680" w:type="pct"/>
            <w:tcBorders>
              <w:tl2br w:val="nil"/>
              <w:tr2bl w:val="nil"/>
            </w:tcBorders>
            <w:shd w:val="clear" w:color="auto" w:fill="auto"/>
            <w:noWrap/>
            <w:vAlign w:val="center"/>
          </w:tcPr>
          <w:p w14:paraId="3A21A75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128.41 </w:t>
            </w:r>
          </w:p>
        </w:tc>
        <w:tc>
          <w:tcPr>
            <w:tcW w:w="711" w:type="pct"/>
            <w:vMerge w:val="continue"/>
            <w:tcBorders>
              <w:tl2br w:val="nil"/>
              <w:tr2bl w:val="nil"/>
            </w:tcBorders>
            <w:shd w:val="clear" w:color="auto" w:fill="auto"/>
            <w:noWrap/>
            <w:vAlign w:val="center"/>
          </w:tcPr>
          <w:p w14:paraId="4A5BC2EC">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31A2D434">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3A1B77BF">
            <w:pPr>
              <w:jc w:val="center"/>
              <w:rPr>
                <w:rFonts w:hint="default" w:ascii="Times New Roman" w:hAnsi="Times New Roman" w:eastAsia="宋体" w:cs="Times New Roman"/>
                <w:i w:val="0"/>
                <w:iCs w:val="0"/>
                <w:color w:val="auto"/>
                <w:sz w:val="22"/>
                <w:szCs w:val="22"/>
                <w:u w:val="none"/>
              </w:rPr>
            </w:pPr>
          </w:p>
        </w:tc>
      </w:tr>
      <w:tr w14:paraId="20681A7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6A6E7A76">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2634346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94" w:type="pct"/>
            <w:tcBorders>
              <w:tl2br w:val="nil"/>
              <w:tr2bl w:val="nil"/>
            </w:tcBorders>
            <w:shd w:val="clear" w:color="auto" w:fill="auto"/>
            <w:noWrap/>
            <w:vAlign w:val="center"/>
          </w:tcPr>
          <w:p w14:paraId="5020F21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0.01 </w:t>
            </w:r>
          </w:p>
        </w:tc>
        <w:tc>
          <w:tcPr>
            <w:tcW w:w="680" w:type="pct"/>
            <w:tcBorders>
              <w:tl2br w:val="nil"/>
              <w:tr2bl w:val="nil"/>
            </w:tcBorders>
            <w:shd w:val="clear" w:color="auto" w:fill="auto"/>
            <w:noWrap/>
            <w:vAlign w:val="center"/>
          </w:tcPr>
          <w:p w14:paraId="2AFAB4A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0.01 </w:t>
            </w:r>
          </w:p>
        </w:tc>
        <w:tc>
          <w:tcPr>
            <w:tcW w:w="711" w:type="pct"/>
            <w:vMerge w:val="continue"/>
            <w:tcBorders>
              <w:tl2br w:val="nil"/>
              <w:tr2bl w:val="nil"/>
            </w:tcBorders>
            <w:shd w:val="clear" w:color="auto" w:fill="auto"/>
            <w:noWrap/>
            <w:vAlign w:val="center"/>
          </w:tcPr>
          <w:p w14:paraId="6783981A">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4435DE9C">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24C4252E">
            <w:pPr>
              <w:jc w:val="center"/>
              <w:rPr>
                <w:rFonts w:hint="default" w:ascii="Times New Roman" w:hAnsi="Times New Roman" w:eastAsia="宋体" w:cs="Times New Roman"/>
                <w:i w:val="0"/>
                <w:iCs w:val="0"/>
                <w:color w:val="auto"/>
                <w:sz w:val="22"/>
                <w:szCs w:val="22"/>
                <w:u w:val="none"/>
              </w:rPr>
            </w:pPr>
          </w:p>
        </w:tc>
      </w:tr>
      <w:tr w14:paraId="3271930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14:paraId="56E0F19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清水江</w:t>
            </w:r>
          </w:p>
        </w:tc>
        <w:tc>
          <w:tcPr>
            <w:tcW w:w="676" w:type="pct"/>
            <w:tcBorders>
              <w:tl2br w:val="nil"/>
              <w:tr2bl w:val="nil"/>
            </w:tcBorders>
            <w:shd w:val="clear" w:color="auto" w:fill="auto"/>
            <w:noWrap/>
            <w:vAlign w:val="center"/>
          </w:tcPr>
          <w:p w14:paraId="655B69C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94" w:type="pct"/>
            <w:tcBorders>
              <w:tl2br w:val="nil"/>
              <w:tr2bl w:val="nil"/>
            </w:tcBorders>
            <w:shd w:val="clear" w:color="auto" w:fill="auto"/>
            <w:noWrap/>
            <w:vAlign w:val="center"/>
          </w:tcPr>
          <w:p w14:paraId="563FCDB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2466.65 </w:t>
            </w:r>
          </w:p>
        </w:tc>
        <w:tc>
          <w:tcPr>
            <w:tcW w:w="680" w:type="pct"/>
            <w:tcBorders>
              <w:tl2br w:val="nil"/>
              <w:tr2bl w:val="nil"/>
            </w:tcBorders>
            <w:shd w:val="clear" w:color="auto" w:fill="auto"/>
            <w:noWrap/>
            <w:vAlign w:val="center"/>
          </w:tcPr>
          <w:p w14:paraId="701DFF3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631.30 </w:t>
            </w:r>
          </w:p>
        </w:tc>
        <w:tc>
          <w:tcPr>
            <w:tcW w:w="711" w:type="pct"/>
            <w:vMerge w:val="restart"/>
            <w:tcBorders>
              <w:tl2br w:val="nil"/>
              <w:tr2bl w:val="nil"/>
            </w:tcBorders>
            <w:shd w:val="clear" w:color="auto" w:fill="auto"/>
            <w:noWrap/>
            <w:vAlign w:val="center"/>
          </w:tcPr>
          <w:p w14:paraId="1FB644E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83.32 </w:t>
            </w:r>
          </w:p>
        </w:tc>
        <w:tc>
          <w:tcPr>
            <w:tcW w:w="666" w:type="pct"/>
            <w:vMerge w:val="restart"/>
            <w:tcBorders>
              <w:tl2br w:val="nil"/>
              <w:tr2bl w:val="nil"/>
            </w:tcBorders>
            <w:shd w:val="clear" w:color="auto" w:fill="auto"/>
            <w:noWrap/>
            <w:vAlign w:val="center"/>
          </w:tcPr>
          <w:p w14:paraId="6791BE6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85.00 </w:t>
            </w:r>
          </w:p>
        </w:tc>
        <w:tc>
          <w:tcPr>
            <w:tcW w:w="676" w:type="pct"/>
            <w:vMerge w:val="restart"/>
            <w:tcBorders>
              <w:tl2br w:val="nil"/>
              <w:tr2bl w:val="nil"/>
            </w:tcBorders>
            <w:shd w:val="clear" w:color="auto" w:fill="auto"/>
            <w:noWrap/>
            <w:vAlign w:val="center"/>
          </w:tcPr>
          <w:p w14:paraId="451AB97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1.68 </w:t>
            </w:r>
          </w:p>
        </w:tc>
      </w:tr>
      <w:tr w14:paraId="1F8DE26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750AB039">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74D5DE4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94" w:type="pct"/>
            <w:tcBorders>
              <w:tl2br w:val="nil"/>
              <w:tr2bl w:val="nil"/>
            </w:tcBorders>
            <w:shd w:val="clear" w:color="auto" w:fill="auto"/>
            <w:noWrap/>
            <w:vAlign w:val="center"/>
          </w:tcPr>
          <w:p w14:paraId="1A8687E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392.43 </w:t>
            </w:r>
          </w:p>
        </w:tc>
        <w:tc>
          <w:tcPr>
            <w:tcW w:w="680" w:type="pct"/>
            <w:tcBorders>
              <w:tl2br w:val="nil"/>
              <w:tr2bl w:val="nil"/>
            </w:tcBorders>
            <w:shd w:val="clear" w:color="auto" w:fill="auto"/>
            <w:noWrap/>
            <w:vAlign w:val="center"/>
          </w:tcPr>
          <w:p w14:paraId="1C9E299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94.75 </w:t>
            </w:r>
          </w:p>
        </w:tc>
        <w:tc>
          <w:tcPr>
            <w:tcW w:w="711" w:type="pct"/>
            <w:vMerge w:val="continue"/>
            <w:tcBorders>
              <w:tl2br w:val="nil"/>
              <w:tr2bl w:val="nil"/>
            </w:tcBorders>
            <w:shd w:val="clear" w:color="auto" w:fill="auto"/>
            <w:noWrap/>
            <w:vAlign w:val="center"/>
          </w:tcPr>
          <w:p w14:paraId="3352F165">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3023563B">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0BA2A4CF">
            <w:pPr>
              <w:jc w:val="center"/>
              <w:rPr>
                <w:rFonts w:hint="default" w:ascii="Times New Roman" w:hAnsi="Times New Roman" w:eastAsia="宋体" w:cs="Times New Roman"/>
                <w:i w:val="0"/>
                <w:iCs w:val="0"/>
                <w:color w:val="auto"/>
                <w:sz w:val="22"/>
                <w:szCs w:val="22"/>
                <w:u w:val="none"/>
              </w:rPr>
            </w:pPr>
          </w:p>
        </w:tc>
      </w:tr>
      <w:tr w14:paraId="5BC047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tcBorders>
              <w:tl2br w:val="nil"/>
              <w:tr2bl w:val="nil"/>
            </w:tcBorders>
            <w:shd w:val="clear" w:color="auto" w:fill="auto"/>
            <w:noWrap/>
            <w:vAlign w:val="center"/>
          </w:tcPr>
          <w:p w14:paraId="15E2180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习水河</w:t>
            </w:r>
          </w:p>
        </w:tc>
        <w:tc>
          <w:tcPr>
            <w:tcW w:w="676" w:type="pct"/>
            <w:tcBorders>
              <w:tl2br w:val="nil"/>
              <w:tr2bl w:val="nil"/>
            </w:tcBorders>
            <w:shd w:val="clear" w:color="auto" w:fill="auto"/>
            <w:noWrap/>
            <w:vAlign w:val="center"/>
          </w:tcPr>
          <w:p w14:paraId="4489BE7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94" w:type="pct"/>
            <w:tcBorders>
              <w:tl2br w:val="nil"/>
              <w:tr2bl w:val="nil"/>
            </w:tcBorders>
            <w:shd w:val="clear" w:color="auto" w:fill="auto"/>
            <w:noWrap/>
            <w:vAlign w:val="center"/>
          </w:tcPr>
          <w:p w14:paraId="1D717A1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311.34 </w:t>
            </w:r>
          </w:p>
        </w:tc>
        <w:tc>
          <w:tcPr>
            <w:tcW w:w="680" w:type="pct"/>
            <w:tcBorders>
              <w:tl2br w:val="nil"/>
              <w:tr2bl w:val="nil"/>
            </w:tcBorders>
            <w:shd w:val="clear" w:color="auto" w:fill="auto"/>
            <w:noWrap/>
            <w:vAlign w:val="center"/>
          </w:tcPr>
          <w:p w14:paraId="1E6A632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75.17 </w:t>
            </w:r>
          </w:p>
        </w:tc>
        <w:tc>
          <w:tcPr>
            <w:tcW w:w="711" w:type="pct"/>
            <w:tcBorders>
              <w:tl2br w:val="nil"/>
              <w:tr2bl w:val="nil"/>
            </w:tcBorders>
            <w:shd w:val="clear" w:color="auto" w:fill="auto"/>
            <w:noWrap/>
            <w:vAlign w:val="center"/>
          </w:tcPr>
          <w:p w14:paraId="409B3D2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79.76 </w:t>
            </w:r>
          </w:p>
        </w:tc>
        <w:tc>
          <w:tcPr>
            <w:tcW w:w="666" w:type="pct"/>
            <w:tcBorders>
              <w:tl2br w:val="nil"/>
              <w:tr2bl w:val="nil"/>
            </w:tcBorders>
            <w:shd w:val="clear" w:color="auto" w:fill="auto"/>
            <w:noWrap/>
            <w:vAlign w:val="center"/>
          </w:tcPr>
          <w:p w14:paraId="527603F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81.31 </w:t>
            </w:r>
          </w:p>
        </w:tc>
        <w:tc>
          <w:tcPr>
            <w:tcW w:w="676" w:type="pct"/>
            <w:tcBorders>
              <w:tl2br w:val="nil"/>
              <w:tr2bl w:val="nil"/>
            </w:tcBorders>
            <w:shd w:val="clear" w:color="auto" w:fill="auto"/>
            <w:noWrap/>
            <w:vAlign w:val="center"/>
          </w:tcPr>
          <w:p w14:paraId="2D564E9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1.55 </w:t>
            </w:r>
          </w:p>
        </w:tc>
      </w:tr>
      <w:tr w14:paraId="0C03390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tcBorders>
              <w:tl2br w:val="nil"/>
              <w:tr2bl w:val="nil"/>
            </w:tcBorders>
            <w:shd w:val="clear" w:color="auto" w:fill="auto"/>
            <w:noWrap/>
            <w:vAlign w:val="center"/>
          </w:tcPr>
          <w:p w14:paraId="55BEB6C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白甫河</w:t>
            </w:r>
          </w:p>
        </w:tc>
        <w:tc>
          <w:tcPr>
            <w:tcW w:w="676" w:type="pct"/>
            <w:tcBorders>
              <w:tl2br w:val="nil"/>
              <w:tr2bl w:val="nil"/>
            </w:tcBorders>
            <w:shd w:val="clear" w:color="auto" w:fill="auto"/>
            <w:noWrap/>
            <w:vAlign w:val="center"/>
          </w:tcPr>
          <w:p w14:paraId="69D69A0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94" w:type="pct"/>
            <w:tcBorders>
              <w:tl2br w:val="nil"/>
              <w:tr2bl w:val="nil"/>
            </w:tcBorders>
            <w:shd w:val="clear" w:color="auto" w:fill="auto"/>
            <w:noWrap/>
            <w:vAlign w:val="center"/>
          </w:tcPr>
          <w:p w14:paraId="5A55DD3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722.86 </w:t>
            </w:r>
          </w:p>
        </w:tc>
        <w:tc>
          <w:tcPr>
            <w:tcW w:w="680" w:type="pct"/>
            <w:tcBorders>
              <w:tl2br w:val="nil"/>
              <w:tr2bl w:val="nil"/>
            </w:tcBorders>
            <w:shd w:val="clear" w:color="auto" w:fill="auto"/>
            <w:noWrap/>
            <w:vAlign w:val="center"/>
          </w:tcPr>
          <w:p w14:paraId="1297437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174.53 </w:t>
            </w:r>
          </w:p>
        </w:tc>
        <w:tc>
          <w:tcPr>
            <w:tcW w:w="711" w:type="pct"/>
            <w:tcBorders>
              <w:tl2br w:val="nil"/>
              <w:tr2bl w:val="nil"/>
            </w:tcBorders>
            <w:shd w:val="clear" w:color="auto" w:fill="auto"/>
            <w:noWrap/>
            <w:vAlign w:val="center"/>
          </w:tcPr>
          <w:p w14:paraId="11CB706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69.16 </w:t>
            </w:r>
          </w:p>
        </w:tc>
        <w:tc>
          <w:tcPr>
            <w:tcW w:w="666" w:type="pct"/>
            <w:tcBorders>
              <w:tl2br w:val="nil"/>
              <w:tr2bl w:val="nil"/>
            </w:tcBorders>
            <w:shd w:val="clear" w:color="auto" w:fill="auto"/>
            <w:noWrap/>
            <w:vAlign w:val="center"/>
          </w:tcPr>
          <w:p w14:paraId="60F166A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71.17 </w:t>
            </w:r>
          </w:p>
        </w:tc>
        <w:tc>
          <w:tcPr>
            <w:tcW w:w="676" w:type="pct"/>
            <w:tcBorders>
              <w:tl2br w:val="nil"/>
              <w:tr2bl w:val="nil"/>
            </w:tcBorders>
            <w:shd w:val="clear" w:color="auto" w:fill="auto"/>
            <w:noWrap/>
            <w:vAlign w:val="center"/>
          </w:tcPr>
          <w:p w14:paraId="4ADF8CC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2.01 </w:t>
            </w:r>
          </w:p>
        </w:tc>
      </w:tr>
      <w:tr w14:paraId="358352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tcBorders>
              <w:tl2br w:val="nil"/>
              <w:tr2bl w:val="nil"/>
            </w:tcBorders>
            <w:shd w:val="clear" w:color="auto" w:fill="auto"/>
            <w:noWrap/>
            <w:vAlign w:val="center"/>
          </w:tcPr>
          <w:p w14:paraId="5F17D2E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锦江</w:t>
            </w:r>
          </w:p>
        </w:tc>
        <w:tc>
          <w:tcPr>
            <w:tcW w:w="676" w:type="pct"/>
            <w:tcBorders>
              <w:tl2br w:val="nil"/>
              <w:tr2bl w:val="nil"/>
            </w:tcBorders>
            <w:shd w:val="clear" w:color="auto" w:fill="auto"/>
            <w:noWrap/>
            <w:vAlign w:val="center"/>
          </w:tcPr>
          <w:p w14:paraId="4DB52D0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铜仁市</w:t>
            </w:r>
          </w:p>
        </w:tc>
        <w:tc>
          <w:tcPr>
            <w:tcW w:w="694" w:type="pct"/>
            <w:tcBorders>
              <w:tl2br w:val="nil"/>
              <w:tr2bl w:val="nil"/>
            </w:tcBorders>
            <w:shd w:val="clear" w:color="auto" w:fill="auto"/>
            <w:noWrap/>
            <w:vAlign w:val="center"/>
          </w:tcPr>
          <w:p w14:paraId="313808E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803.00 </w:t>
            </w:r>
          </w:p>
        </w:tc>
        <w:tc>
          <w:tcPr>
            <w:tcW w:w="680" w:type="pct"/>
            <w:tcBorders>
              <w:tl2br w:val="nil"/>
              <w:tr2bl w:val="nil"/>
            </w:tcBorders>
            <w:shd w:val="clear" w:color="auto" w:fill="auto"/>
            <w:noWrap/>
            <w:vAlign w:val="center"/>
          </w:tcPr>
          <w:p w14:paraId="690B45A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484.04 </w:t>
            </w:r>
          </w:p>
        </w:tc>
        <w:tc>
          <w:tcPr>
            <w:tcW w:w="711" w:type="pct"/>
            <w:tcBorders>
              <w:tl2br w:val="nil"/>
              <w:tr2bl w:val="nil"/>
            </w:tcBorders>
            <w:shd w:val="clear" w:color="auto" w:fill="auto"/>
            <w:noWrap/>
            <w:vAlign w:val="center"/>
          </w:tcPr>
          <w:p w14:paraId="75E5D7F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80.35 </w:t>
            </w:r>
          </w:p>
        </w:tc>
        <w:tc>
          <w:tcPr>
            <w:tcW w:w="666" w:type="pct"/>
            <w:tcBorders>
              <w:tl2br w:val="nil"/>
              <w:tr2bl w:val="nil"/>
            </w:tcBorders>
            <w:shd w:val="clear" w:color="auto" w:fill="auto"/>
            <w:noWrap/>
            <w:vAlign w:val="center"/>
          </w:tcPr>
          <w:p w14:paraId="0C6EB47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81.05 </w:t>
            </w:r>
          </w:p>
        </w:tc>
        <w:tc>
          <w:tcPr>
            <w:tcW w:w="676" w:type="pct"/>
            <w:tcBorders>
              <w:tl2br w:val="nil"/>
              <w:tr2bl w:val="nil"/>
            </w:tcBorders>
            <w:shd w:val="clear" w:color="auto" w:fill="auto"/>
            <w:noWrap/>
            <w:vAlign w:val="center"/>
          </w:tcPr>
          <w:p w14:paraId="373D151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0.70 </w:t>
            </w:r>
          </w:p>
        </w:tc>
      </w:tr>
      <w:tr w14:paraId="51351AC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14:paraId="03D9A44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清水河</w:t>
            </w:r>
          </w:p>
        </w:tc>
        <w:tc>
          <w:tcPr>
            <w:tcW w:w="676" w:type="pct"/>
            <w:tcBorders>
              <w:tl2br w:val="nil"/>
              <w:tr2bl w:val="nil"/>
            </w:tcBorders>
            <w:shd w:val="clear" w:color="auto" w:fill="auto"/>
            <w:noWrap/>
            <w:vAlign w:val="center"/>
          </w:tcPr>
          <w:p w14:paraId="13798BA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94" w:type="pct"/>
            <w:tcBorders>
              <w:tl2br w:val="nil"/>
              <w:tr2bl w:val="nil"/>
            </w:tcBorders>
            <w:shd w:val="clear" w:color="auto" w:fill="auto"/>
            <w:noWrap/>
            <w:vAlign w:val="center"/>
          </w:tcPr>
          <w:p w14:paraId="5667CA2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619.82 </w:t>
            </w:r>
          </w:p>
        </w:tc>
        <w:tc>
          <w:tcPr>
            <w:tcW w:w="680" w:type="pct"/>
            <w:tcBorders>
              <w:tl2br w:val="nil"/>
              <w:tr2bl w:val="nil"/>
            </w:tcBorders>
            <w:shd w:val="clear" w:color="auto" w:fill="auto"/>
            <w:noWrap/>
            <w:vAlign w:val="center"/>
          </w:tcPr>
          <w:p w14:paraId="26118D0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149.63 </w:t>
            </w:r>
          </w:p>
        </w:tc>
        <w:tc>
          <w:tcPr>
            <w:tcW w:w="711" w:type="pct"/>
            <w:vMerge w:val="restart"/>
            <w:tcBorders>
              <w:tl2br w:val="nil"/>
              <w:tr2bl w:val="nil"/>
            </w:tcBorders>
            <w:shd w:val="clear" w:color="auto" w:fill="auto"/>
            <w:noWrap/>
            <w:vAlign w:val="center"/>
          </w:tcPr>
          <w:p w14:paraId="5E5B40E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82.11 </w:t>
            </w:r>
          </w:p>
        </w:tc>
        <w:tc>
          <w:tcPr>
            <w:tcW w:w="666" w:type="pct"/>
            <w:vMerge w:val="restart"/>
            <w:tcBorders>
              <w:tl2br w:val="nil"/>
              <w:tr2bl w:val="nil"/>
            </w:tcBorders>
            <w:shd w:val="clear" w:color="auto" w:fill="auto"/>
            <w:noWrap/>
            <w:vAlign w:val="center"/>
          </w:tcPr>
          <w:p w14:paraId="62F5249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82.89 </w:t>
            </w:r>
          </w:p>
        </w:tc>
        <w:tc>
          <w:tcPr>
            <w:tcW w:w="676" w:type="pct"/>
            <w:vMerge w:val="restart"/>
            <w:tcBorders>
              <w:tl2br w:val="nil"/>
              <w:tr2bl w:val="nil"/>
            </w:tcBorders>
            <w:shd w:val="clear" w:color="auto" w:fill="auto"/>
            <w:noWrap/>
            <w:vAlign w:val="center"/>
          </w:tcPr>
          <w:p w14:paraId="316CE87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0.78 </w:t>
            </w:r>
          </w:p>
        </w:tc>
      </w:tr>
      <w:tr w14:paraId="463E491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0D2F200E">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03B3B5F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94" w:type="pct"/>
            <w:tcBorders>
              <w:tl2br w:val="nil"/>
              <w:tr2bl w:val="nil"/>
            </w:tcBorders>
            <w:shd w:val="clear" w:color="auto" w:fill="auto"/>
            <w:noWrap/>
            <w:vAlign w:val="center"/>
          </w:tcPr>
          <w:p w14:paraId="3B6A42E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535.38 </w:t>
            </w:r>
          </w:p>
        </w:tc>
        <w:tc>
          <w:tcPr>
            <w:tcW w:w="680" w:type="pct"/>
            <w:tcBorders>
              <w:tl2br w:val="nil"/>
              <w:tr2bl w:val="nil"/>
            </w:tcBorders>
            <w:shd w:val="clear" w:color="auto" w:fill="auto"/>
            <w:noWrap/>
            <w:vAlign w:val="center"/>
          </w:tcPr>
          <w:p w14:paraId="6743CFA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129.36 </w:t>
            </w:r>
          </w:p>
        </w:tc>
        <w:tc>
          <w:tcPr>
            <w:tcW w:w="711" w:type="pct"/>
            <w:vMerge w:val="continue"/>
            <w:tcBorders>
              <w:tl2br w:val="nil"/>
              <w:tr2bl w:val="nil"/>
            </w:tcBorders>
            <w:shd w:val="clear" w:color="auto" w:fill="auto"/>
            <w:noWrap/>
            <w:vAlign w:val="center"/>
          </w:tcPr>
          <w:p w14:paraId="6EAEC80F">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47C901CE">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31B82075">
            <w:pPr>
              <w:jc w:val="center"/>
              <w:rPr>
                <w:rFonts w:hint="default" w:ascii="Times New Roman" w:hAnsi="Times New Roman" w:eastAsia="宋体" w:cs="Times New Roman"/>
                <w:i w:val="0"/>
                <w:iCs w:val="0"/>
                <w:color w:val="auto"/>
                <w:sz w:val="22"/>
                <w:szCs w:val="22"/>
                <w:u w:val="none"/>
              </w:rPr>
            </w:pPr>
          </w:p>
        </w:tc>
      </w:tr>
      <w:tr w14:paraId="0714D4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23DB1A5B">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4BFD1F8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94" w:type="pct"/>
            <w:tcBorders>
              <w:tl2br w:val="nil"/>
              <w:tr2bl w:val="nil"/>
            </w:tcBorders>
            <w:shd w:val="clear" w:color="auto" w:fill="auto"/>
            <w:noWrap/>
            <w:vAlign w:val="center"/>
          </w:tcPr>
          <w:p w14:paraId="4B0D8CD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5.60 </w:t>
            </w:r>
          </w:p>
        </w:tc>
        <w:tc>
          <w:tcPr>
            <w:tcW w:w="680" w:type="pct"/>
            <w:tcBorders>
              <w:tl2br w:val="nil"/>
              <w:tr2bl w:val="nil"/>
            </w:tcBorders>
            <w:shd w:val="clear" w:color="auto" w:fill="auto"/>
            <w:noWrap/>
            <w:vAlign w:val="center"/>
          </w:tcPr>
          <w:p w14:paraId="79AB64B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5.60 </w:t>
            </w:r>
          </w:p>
        </w:tc>
        <w:tc>
          <w:tcPr>
            <w:tcW w:w="711" w:type="pct"/>
            <w:vMerge w:val="continue"/>
            <w:tcBorders>
              <w:tl2br w:val="nil"/>
              <w:tr2bl w:val="nil"/>
            </w:tcBorders>
            <w:shd w:val="clear" w:color="auto" w:fill="auto"/>
            <w:noWrap/>
            <w:vAlign w:val="center"/>
          </w:tcPr>
          <w:p w14:paraId="20D88412">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1064A2E2">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0CF8CC76">
            <w:pPr>
              <w:jc w:val="center"/>
              <w:rPr>
                <w:rFonts w:hint="default" w:ascii="Times New Roman" w:hAnsi="Times New Roman" w:eastAsia="宋体" w:cs="Times New Roman"/>
                <w:i w:val="0"/>
                <w:iCs w:val="0"/>
                <w:color w:val="auto"/>
                <w:sz w:val="22"/>
                <w:szCs w:val="22"/>
                <w:u w:val="none"/>
              </w:rPr>
            </w:pPr>
          </w:p>
        </w:tc>
      </w:tr>
      <w:tr w14:paraId="4F5F30E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52F0C4B7">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3D49DD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94" w:type="pct"/>
            <w:tcBorders>
              <w:tl2br w:val="nil"/>
              <w:tr2bl w:val="nil"/>
            </w:tcBorders>
            <w:shd w:val="clear" w:color="auto" w:fill="auto"/>
            <w:noWrap/>
            <w:vAlign w:val="center"/>
          </w:tcPr>
          <w:p w14:paraId="01ABD52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21.70 </w:t>
            </w:r>
          </w:p>
        </w:tc>
        <w:tc>
          <w:tcPr>
            <w:tcW w:w="680" w:type="pct"/>
            <w:tcBorders>
              <w:tl2br w:val="nil"/>
              <w:tr2bl w:val="nil"/>
            </w:tcBorders>
            <w:shd w:val="clear" w:color="auto" w:fill="auto"/>
            <w:noWrap/>
            <w:vAlign w:val="center"/>
          </w:tcPr>
          <w:p w14:paraId="3CE2356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5.24 </w:t>
            </w:r>
          </w:p>
        </w:tc>
        <w:tc>
          <w:tcPr>
            <w:tcW w:w="711" w:type="pct"/>
            <w:vMerge w:val="continue"/>
            <w:tcBorders>
              <w:tl2br w:val="nil"/>
              <w:tr2bl w:val="nil"/>
            </w:tcBorders>
            <w:shd w:val="clear" w:color="auto" w:fill="auto"/>
            <w:noWrap/>
            <w:vAlign w:val="center"/>
          </w:tcPr>
          <w:p w14:paraId="1C1218E1">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315648C7">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5974D971">
            <w:pPr>
              <w:jc w:val="center"/>
              <w:rPr>
                <w:rFonts w:hint="default" w:ascii="Times New Roman" w:hAnsi="Times New Roman" w:eastAsia="宋体" w:cs="Times New Roman"/>
                <w:i w:val="0"/>
                <w:iCs w:val="0"/>
                <w:color w:val="auto"/>
                <w:sz w:val="22"/>
                <w:szCs w:val="22"/>
                <w:u w:val="none"/>
              </w:rPr>
            </w:pPr>
          </w:p>
        </w:tc>
      </w:tr>
      <w:tr w14:paraId="0A6349E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14:paraId="49061BA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舞阳河</w:t>
            </w:r>
          </w:p>
        </w:tc>
        <w:tc>
          <w:tcPr>
            <w:tcW w:w="676" w:type="pct"/>
            <w:tcBorders>
              <w:tl2br w:val="nil"/>
              <w:tr2bl w:val="nil"/>
            </w:tcBorders>
            <w:shd w:val="clear" w:color="auto" w:fill="auto"/>
            <w:noWrap/>
            <w:vAlign w:val="center"/>
          </w:tcPr>
          <w:p w14:paraId="080803E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94" w:type="pct"/>
            <w:tcBorders>
              <w:tl2br w:val="nil"/>
              <w:tr2bl w:val="nil"/>
            </w:tcBorders>
            <w:shd w:val="clear" w:color="auto" w:fill="auto"/>
            <w:noWrap/>
            <w:vAlign w:val="center"/>
          </w:tcPr>
          <w:p w14:paraId="310AEBD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896.14 </w:t>
            </w:r>
          </w:p>
        </w:tc>
        <w:tc>
          <w:tcPr>
            <w:tcW w:w="680" w:type="pct"/>
            <w:tcBorders>
              <w:tl2br w:val="nil"/>
              <w:tr2bl w:val="nil"/>
            </w:tcBorders>
            <w:shd w:val="clear" w:color="auto" w:fill="auto"/>
            <w:noWrap/>
            <w:vAlign w:val="center"/>
          </w:tcPr>
          <w:p w14:paraId="7C44B57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216.36 </w:t>
            </w:r>
          </w:p>
        </w:tc>
        <w:tc>
          <w:tcPr>
            <w:tcW w:w="711" w:type="pct"/>
            <w:vMerge w:val="restart"/>
            <w:tcBorders>
              <w:tl2br w:val="nil"/>
              <w:tr2bl w:val="nil"/>
            </w:tcBorders>
            <w:shd w:val="clear" w:color="auto" w:fill="auto"/>
            <w:noWrap/>
            <w:vAlign w:val="center"/>
          </w:tcPr>
          <w:p w14:paraId="7B99794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81.65 </w:t>
            </w:r>
          </w:p>
        </w:tc>
        <w:tc>
          <w:tcPr>
            <w:tcW w:w="666" w:type="pct"/>
            <w:vMerge w:val="restart"/>
            <w:tcBorders>
              <w:tl2br w:val="nil"/>
              <w:tr2bl w:val="nil"/>
            </w:tcBorders>
            <w:shd w:val="clear" w:color="auto" w:fill="auto"/>
            <w:noWrap/>
            <w:vAlign w:val="center"/>
          </w:tcPr>
          <w:p w14:paraId="5BC798E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82.19 </w:t>
            </w:r>
          </w:p>
        </w:tc>
        <w:tc>
          <w:tcPr>
            <w:tcW w:w="676" w:type="pct"/>
            <w:vMerge w:val="restart"/>
            <w:tcBorders>
              <w:tl2br w:val="nil"/>
              <w:tr2bl w:val="nil"/>
            </w:tcBorders>
            <w:shd w:val="clear" w:color="auto" w:fill="auto"/>
            <w:noWrap/>
            <w:vAlign w:val="center"/>
          </w:tcPr>
          <w:p w14:paraId="3A78FBA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0.54 </w:t>
            </w:r>
          </w:p>
        </w:tc>
      </w:tr>
      <w:tr w14:paraId="433EA8E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20942E6B">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47E302E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铜仁市</w:t>
            </w:r>
          </w:p>
        </w:tc>
        <w:tc>
          <w:tcPr>
            <w:tcW w:w="694" w:type="pct"/>
            <w:tcBorders>
              <w:tl2br w:val="nil"/>
              <w:tr2bl w:val="nil"/>
            </w:tcBorders>
            <w:shd w:val="clear" w:color="auto" w:fill="auto"/>
            <w:noWrap/>
            <w:vAlign w:val="center"/>
          </w:tcPr>
          <w:p w14:paraId="0532EFF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283.93 </w:t>
            </w:r>
          </w:p>
        </w:tc>
        <w:tc>
          <w:tcPr>
            <w:tcW w:w="680" w:type="pct"/>
            <w:tcBorders>
              <w:tl2br w:val="nil"/>
              <w:tr2bl w:val="nil"/>
            </w:tcBorders>
            <w:shd w:val="clear" w:color="auto" w:fill="auto"/>
            <w:noWrap/>
            <w:vAlign w:val="center"/>
          </w:tcPr>
          <w:p w14:paraId="713FE06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108.55 </w:t>
            </w:r>
          </w:p>
        </w:tc>
        <w:tc>
          <w:tcPr>
            <w:tcW w:w="711" w:type="pct"/>
            <w:vMerge w:val="continue"/>
            <w:tcBorders>
              <w:tl2br w:val="nil"/>
              <w:tr2bl w:val="nil"/>
            </w:tcBorders>
            <w:shd w:val="clear" w:color="auto" w:fill="auto"/>
            <w:noWrap/>
            <w:vAlign w:val="center"/>
          </w:tcPr>
          <w:p w14:paraId="12D2C365">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63159644">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4D78C53F">
            <w:pPr>
              <w:jc w:val="center"/>
              <w:rPr>
                <w:rFonts w:hint="default" w:ascii="Times New Roman" w:hAnsi="Times New Roman" w:eastAsia="宋体" w:cs="Times New Roman"/>
                <w:i w:val="0"/>
                <w:iCs w:val="0"/>
                <w:color w:val="auto"/>
                <w:sz w:val="22"/>
                <w:szCs w:val="22"/>
                <w:u w:val="none"/>
              </w:rPr>
            </w:pPr>
          </w:p>
        </w:tc>
      </w:tr>
      <w:tr w14:paraId="07154F7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3485DC3B">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4A1F5D5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94" w:type="pct"/>
            <w:tcBorders>
              <w:tl2br w:val="nil"/>
              <w:tr2bl w:val="nil"/>
            </w:tcBorders>
            <w:shd w:val="clear" w:color="auto" w:fill="auto"/>
            <w:noWrap/>
            <w:vAlign w:val="center"/>
          </w:tcPr>
          <w:p w14:paraId="66F6501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8.23 </w:t>
            </w:r>
          </w:p>
        </w:tc>
        <w:tc>
          <w:tcPr>
            <w:tcW w:w="680" w:type="pct"/>
            <w:tcBorders>
              <w:tl2br w:val="nil"/>
              <w:tr2bl w:val="nil"/>
            </w:tcBorders>
            <w:shd w:val="clear" w:color="auto" w:fill="auto"/>
            <w:noWrap/>
            <w:vAlign w:val="center"/>
          </w:tcPr>
          <w:p w14:paraId="3834A21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1.99 </w:t>
            </w:r>
          </w:p>
        </w:tc>
        <w:tc>
          <w:tcPr>
            <w:tcW w:w="711" w:type="pct"/>
            <w:vMerge w:val="continue"/>
            <w:tcBorders>
              <w:tl2br w:val="nil"/>
              <w:tr2bl w:val="nil"/>
            </w:tcBorders>
            <w:shd w:val="clear" w:color="auto" w:fill="auto"/>
            <w:noWrap/>
            <w:vAlign w:val="center"/>
          </w:tcPr>
          <w:p w14:paraId="147AC380">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168EBA28">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00804B80">
            <w:pPr>
              <w:jc w:val="center"/>
              <w:rPr>
                <w:rFonts w:hint="default" w:ascii="Times New Roman" w:hAnsi="Times New Roman" w:eastAsia="宋体" w:cs="Times New Roman"/>
                <w:i w:val="0"/>
                <w:iCs w:val="0"/>
                <w:color w:val="auto"/>
                <w:sz w:val="22"/>
                <w:szCs w:val="22"/>
                <w:u w:val="none"/>
              </w:rPr>
            </w:pPr>
          </w:p>
        </w:tc>
      </w:tr>
      <w:tr w14:paraId="2D4F3D8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 w:hRule="atLeast"/>
        </w:trPr>
        <w:tc>
          <w:tcPr>
            <w:tcW w:w="895" w:type="pct"/>
            <w:tcBorders>
              <w:tl2br w:val="nil"/>
              <w:tr2bl w:val="nil"/>
            </w:tcBorders>
            <w:shd w:val="clear" w:color="auto" w:fill="auto"/>
            <w:noWrap/>
            <w:vAlign w:val="center"/>
          </w:tcPr>
          <w:p w14:paraId="6266C82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巴拉河</w:t>
            </w:r>
          </w:p>
        </w:tc>
        <w:tc>
          <w:tcPr>
            <w:tcW w:w="676" w:type="pct"/>
            <w:tcBorders>
              <w:tl2br w:val="nil"/>
              <w:tr2bl w:val="nil"/>
            </w:tcBorders>
            <w:shd w:val="clear" w:color="auto" w:fill="auto"/>
            <w:noWrap/>
            <w:vAlign w:val="center"/>
          </w:tcPr>
          <w:p w14:paraId="64885BE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94" w:type="pct"/>
            <w:tcBorders>
              <w:tl2br w:val="nil"/>
              <w:tr2bl w:val="nil"/>
            </w:tcBorders>
            <w:shd w:val="clear" w:color="auto" w:fill="auto"/>
            <w:noWrap/>
            <w:vAlign w:val="center"/>
          </w:tcPr>
          <w:p w14:paraId="05A2AF5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276.22 </w:t>
            </w:r>
          </w:p>
        </w:tc>
        <w:tc>
          <w:tcPr>
            <w:tcW w:w="680" w:type="pct"/>
            <w:tcBorders>
              <w:tl2br w:val="nil"/>
              <w:tr2bl w:val="nil"/>
            </w:tcBorders>
            <w:shd w:val="clear" w:color="auto" w:fill="auto"/>
            <w:noWrap/>
            <w:vAlign w:val="center"/>
          </w:tcPr>
          <w:p w14:paraId="4B16BF4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66.69 </w:t>
            </w:r>
          </w:p>
        </w:tc>
        <w:tc>
          <w:tcPr>
            <w:tcW w:w="711" w:type="pct"/>
            <w:tcBorders>
              <w:tl2br w:val="nil"/>
              <w:tr2bl w:val="nil"/>
            </w:tcBorders>
            <w:shd w:val="clear" w:color="auto" w:fill="auto"/>
            <w:noWrap/>
            <w:vAlign w:val="center"/>
          </w:tcPr>
          <w:p w14:paraId="65A3699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79.63 </w:t>
            </w:r>
          </w:p>
        </w:tc>
        <w:tc>
          <w:tcPr>
            <w:tcW w:w="666" w:type="pct"/>
            <w:tcBorders>
              <w:tl2br w:val="nil"/>
              <w:tr2bl w:val="nil"/>
            </w:tcBorders>
            <w:shd w:val="clear" w:color="auto" w:fill="auto"/>
            <w:noWrap/>
            <w:vAlign w:val="center"/>
          </w:tcPr>
          <w:p w14:paraId="4DFEAB4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81.84 </w:t>
            </w:r>
          </w:p>
        </w:tc>
        <w:tc>
          <w:tcPr>
            <w:tcW w:w="676" w:type="pct"/>
            <w:tcBorders>
              <w:tl2br w:val="nil"/>
              <w:tr2bl w:val="nil"/>
            </w:tcBorders>
            <w:shd w:val="clear" w:color="auto" w:fill="auto"/>
            <w:noWrap/>
            <w:vAlign w:val="center"/>
          </w:tcPr>
          <w:p w14:paraId="1B3D31E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2.21 </w:t>
            </w:r>
          </w:p>
        </w:tc>
      </w:tr>
      <w:tr w14:paraId="7E41D30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14:paraId="7EC1B2D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偏岩河</w:t>
            </w:r>
          </w:p>
        </w:tc>
        <w:tc>
          <w:tcPr>
            <w:tcW w:w="676" w:type="pct"/>
            <w:tcBorders>
              <w:tl2br w:val="nil"/>
              <w:tr2bl w:val="nil"/>
            </w:tcBorders>
            <w:shd w:val="clear" w:color="auto" w:fill="auto"/>
            <w:noWrap/>
            <w:vAlign w:val="center"/>
          </w:tcPr>
          <w:p w14:paraId="2AB6630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94" w:type="pct"/>
            <w:tcBorders>
              <w:tl2br w:val="nil"/>
              <w:tr2bl w:val="nil"/>
            </w:tcBorders>
            <w:shd w:val="clear" w:color="auto" w:fill="auto"/>
            <w:noWrap/>
            <w:vAlign w:val="center"/>
          </w:tcPr>
          <w:p w14:paraId="22807C2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252.70 </w:t>
            </w:r>
          </w:p>
        </w:tc>
        <w:tc>
          <w:tcPr>
            <w:tcW w:w="680" w:type="pct"/>
            <w:tcBorders>
              <w:tl2br w:val="nil"/>
              <w:tr2bl w:val="nil"/>
            </w:tcBorders>
            <w:shd w:val="clear" w:color="auto" w:fill="auto"/>
            <w:noWrap/>
            <w:vAlign w:val="center"/>
          </w:tcPr>
          <w:p w14:paraId="4F87C93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61.01 </w:t>
            </w:r>
          </w:p>
        </w:tc>
        <w:tc>
          <w:tcPr>
            <w:tcW w:w="711" w:type="pct"/>
            <w:vMerge w:val="restart"/>
            <w:tcBorders>
              <w:tl2br w:val="nil"/>
              <w:tr2bl w:val="nil"/>
            </w:tcBorders>
            <w:shd w:val="clear" w:color="auto" w:fill="auto"/>
            <w:noWrap/>
            <w:vAlign w:val="center"/>
          </w:tcPr>
          <w:p w14:paraId="70DBF93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71.25 </w:t>
            </w:r>
          </w:p>
        </w:tc>
        <w:tc>
          <w:tcPr>
            <w:tcW w:w="666" w:type="pct"/>
            <w:vMerge w:val="restart"/>
            <w:tcBorders>
              <w:tl2br w:val="nil"/>
              <w:tr2bl w:val="nil"/>
            </w:tcBorders>
            <w:shd w:val="clear" w:color="auto" w:fill="auto"/>
            <w:noWrap/>
            <w:vAlign w:val="center"/>
          </w:tcPr>
          <w:p w14:paraId="599AC04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72.89 </w:t>
            </w:r>
          </w:p>
        </w:tc>
        <w:tc>
          <w:tcPr>
            <w:tcW w:w="676" w:type="pct"/>
            <w:vMerge w:val="restart"/>
            <w:tcBorders>
              <w:tl2br w:val="nil"/>
              <w:tr2bl w:val="nil"/>
            </w:tcBorders>
            <w:shd w:val="clear" w:color="auto" w:fill="auto"/>
            <w:noWrap/>
            <w:vAlign w:val="center"/>
          </w:tcPr>
          <w:p w14:paraId="2C2B0E8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1.64 </w:t>
            </w:r>
          </w:p>
        </w:tc>
      </w:tr>
      <w:tr w14:paraId="44341B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15337002">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0A57EDD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94" w:type="pct"/>
            <w:tcBorders>
              <w:tl2br w:val="nil"/>
              <w:tr2bl w:val="nil"/>
            </w:tcBorders>
            <w:shd w:val="clear" w:color="auto" w:fill="auto"/>
            <w:noWrap/>
            <w:vAlign w:val="center"/>
          </w:tcPr>
          <w:p w14:paraId="1EB270A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392.25 </w:t>
            </w:r>
          </w:p>
        </w:tc>
        <w:tc>
          <w:tcPr>
            <w:tcW w:w="680" w:type="pct"/>
            <w:tcBorders>
              <w:tl2br w:val="nil"/>
              <w:tr2bl w:val="nil"/>
            </w:tcBorders>
            <w:shd w:val="clear" w:color="auto" w:fill="auto"/>
            <w:noWrap/>
            <w:vAlign w:val="center"/>
          </w:tcPr>
          <w:p w14:paraId="0603B3F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94.71 </w:t>
            </w:r>
          </w:p>
        </w:tc>
        <w:tc>
          <w:tcPr>
            <w:tcW w:w="711" w:type="pct"/>
            <w:vMerge w:val="continue"/>
            <w:tcBorders>
              <w:tl2br w:val="nil"/>
              <w:tr2bl w:val="nil"/>
            </w:tcBorders>
            <w:shd w:val="clear" w:color="auto" w:fill="auto"/>
            <w:noWrap/>
            <w:vAlign w:val="center"/>
          </w:tcPr>
          <w:p w14:paraId="7AA6A32F">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3E9191B5">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19A05545">
            <w:pPr>
              <w:jc w:val="center"/>
              <w:rPr>
                <w:rFonts w:hint="default" w:ascii="Times New Roman" w:hAnsi="Times New Roman" w:eastAsia="宋体" w:cs="Times New Roman"/>
                <w:i w:val="0"/>
                <w:iCs w:val="0"/>
                <w:color w:val="auto"/>
                <w:sz w:val="22"/>
                <w:szCs w:val="22"/>
                <w:u w:val="none"/>
              </w:rPr>
            </w:pPr>
          </w:p>
        </w:tc>
      </w:tr>
      <w:tr w14:paraId="140ECB1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restart"/>
            <w:tcBorders>
              <w:tl2br w:val="nil"/>
              <w:tr2bl w:val="nil"/>
            </w:tcBorders>
            <w:shd w:val="clear" w:color="auto" w:fill="auto"/>
            <w:noWrap/>
            <w:vAlign w:val="center"/>
          </w:tcPr>
          <w:p w14:paraId="1A7D8FB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乌江</w:t>
            </w:r>
          </w:p>
        </w:tc>
        <w:tc>
          <w:tcPr>
            <w:tcW w:w="676" w:type="pct"/>
            <w:tcBorders>
              <w:tl2br w:val="nil"/>
              <w:tr2bl w:val="nil"/>
            </w:tcBorders>
            <w:shd w:val="clear" w:color="auto" w:fill="auto"/>
            <w:noWrap/>
            <w:vAlign w:val="center"/>
          </w:tcPr>
          <w:p w14:paraId="3FE7976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贵阳市</w:t>
            </w:r>
          </w:p>
        </w:tc>
        <w:tc>
          <w:tcPr>
            <w:tcW w:w="694" w:type="pct"/>
            <w:tcBorders>
              <w:tl2br w:val="nil"/>
              <w:tr2bl w:val="nil"/>
            </w:tcBorders>
            <w:shd w:val="clear" w:color="auto" w:fill="auto"/>
            <w:noWrap/>
            <w:vAlign w:val="center"/>
          </w:tcPr>
          <w:p w14:paraId="285688E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1773.44 </w:t>
            </w:r>
          </w:p>
        </w:tc>
        <w:tc>
          <w:tcPr>
            <w:tcW w:w="680" w:type="pct"/>
            <w:tcBorders>
              <w:tl2br w:val="nil"/>
              <w:tr2bl w:val="nil"/>
            </w:tcBorders>
            <w:shd w:val="clear" w:color="auto" w:fill="auto"/>
            <w:noWrap/>
            <w:vAlign w:val="center"/>
          </w:tcPr>
          <w:p w14:paraId="499582B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246.26 </w:t>
            </w:r>
          </w:p>
        </w:tc>
        <w:tc>
          <w:tcPr>
            <w:tcW w:w="711" w:type="pct"/>
            <w:vMerge w:val="restart"/>
            <w:tcBorders>
              <w:tl2br w:val="nil"/>
              <w:tr2bl w:val="nil"/>
            </w:tcBorders>
            <w:shd w:val="clear" w:color="auto" w:fill="auto"/>
            <w:noWrap/>
            <w:vAlign w:val="center"/>
          </w:tcPr>
          <w:p w14:paraId="740D24D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59.22 </w:t>
            </w:r>
          </w:p>
        </w:tc>
        <w:tc>
          <w:tcPr>
            <w:tcW w:w="666" w:type="pct"/>
            <w:vMerge w:val="restart"/>
            <w:tcBorders>
              <w:tl2br w:val="nil"/>
              <w:tr2bl w:val="nil"/>
            </w:tcBorders>
            <w:shd w:val="clear" w:color="auto" w:fill="auto"/>
            <w:noWrap/>
            <w:vAlign w:val="center"/>
          </w:tcPr>
          <w:p w14:paraId="085A864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61.83 </w:t>
            </w:r>
          </w:p>
        </w:tc>
        <w:tc>
          <w:tcPr>
            <w:tcW w:w="676" w:type="pct"/>
            <w:vMerge w:val="restart"/>
            <w:tcBorders>
              <w:tl2br w:val="nil"/>
              <w:tr2bl w:val="nil"/>
            </w:tcBorders>
            <w:shd w:val="clear" w:color="auto" w:fill="auto"/>
            <w:noWrap/>
            <w:vAlign w:val="center"/>
          </w:tcPr>
          <w:p w14:paraId="69A1849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2.61 </w:t>
            </w:r>
          </w:p>
        </w:tc>
      </w:tr>
      <w:tr w14:paraId="665613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1116E5BD">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66B913E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遵义市</w:t>
            </w:r>
          </w:p>
        </w:tc>
        <w:tc>
          <w:tcPr>
            <w:tcW w:w="694" w:type="pct"/>
            <w:tcBorders>
              <w:tl2br w:val="nil"/>
              <w:tr2bl w:val="nil"/>
            </w:tcBorders>
            <w:shd w:val="clear" w:color="auto" w:fill="auto"/>
            <w:noWrap/>
            <w:vAlign w:val="center"/>
          </w:tcPr>
          <w:p w14:paraId="5EB076F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5513.82 </w:t>
            </w:r>
          </w:p>
        </w:tc>
        <w:tc>
          <w:tcPr>
            <w:tcW w:w="680" w:type="pct"/>
            <w:tcBorders>
              <w:tl2br w:val="nil"/>
              <w:tr2bl w:val="nil"/>
            </w:tcBorders>
            <w:shd w:val="clear" w:color="auto" w:fill="auto"/>
            <w:noWrap/>
            <w:vAlign w:val="center"/>
          </w:tcPr>
          <w:p w14:paraId="061BABA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1361.53 </w:t>
            </w:r>
          </w:p>
        </w:tc>
        <w:tc>
          <w:tcPr>
            <w:tcW w:w="711" w:type="pct"/>
            <w:vMerge w:val="continue"/>
            <w:tcBorders>
              <w:tl2br w:val="nil"/>
              <w:tr2bl w:val="nil"/>
            </w:tcBorders>
            <w:shd w:val="clear" w:color="auto" w:fill="auto"/>
            <w:noWrap/>
            <w:vAlign w:val="center"/>
          </w:tcPr>
          <w:p w14:paraId="6B9B8AE0">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6E14B79A">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0F6DDAF7">
            <w:pPr>
              <w:jc w:val="center"/>
              <w:rPr>
                <w:rFonts w:hint="default" w:ascii="Times New Roman" w:hAnsi="Times New Roman" w:eastAsia="宋体" w:cs="Times New Roman"/>
                <w:i w:val="0"/>
                <w:iCs w:val="0"/>
                <w:color w:val="auto"/>
                <w:sz w:val="22"/>
                <w:szCs w:val="22"/>
                <w:u w:val="none"/>
              </w:rPr>
            </w:pPr>
          </w:p>
        </w:tc>
      </w:tr>
      <w:tr w14:paraId="6C51DA6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583495AE">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66FC251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毕节市</w:t>
            </w:r>
          </w:p>
        </w:tc>
        <w:tc>
          <w:tcPr>
            <w:tcW w:w="694" w:type="pct"/>
            <w:tcBorders>
              <w:tl2br w:val="nil"/>
              <w:tr2bl w:val="nil"/>
            </w:tcBorders>
            <w:shd w:val="clear" w:color="auto" w:fill="auto"/>
            <w:noWrap/>
            <w:vAlign w:val="center"/>
          </w:tcPr>
          <w:p w14:paraId="3855865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6442.50 </w:t>
            </w:r>
          </w:p>
        </w:tc>
        <w:tc>
          <w:tcPr>
            <w:tcW w:w="680" w:type="pct"/>
            <w:tcBorders>
              <w:tl2br w:val="nil"/>
              <w:tr2bl w:val="nil"/>
            </w:tcBorders>
            <w:shd w:val="clear" w:color="auto" w:fill="auto"/>
            <w:noWrap/>
            <w:vAlign w:val="center"/>
          </w:tcPr>
          <w:p w14:paraId="7FE6682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1392.00 </w:t>
            </w:r>
          </w:p>
        </w:tc>
        <w:tc>
          <w:tcPr>
            <w:tcW w:w="711" w:type="pct"/>
            <w:vMerge w:val="continue"/>
            <w:tcBorders>
              <w:tl2br w:val="nil"/>
              <w:tr2bl w:val="nil"/>
            </w:tcBorders>
            <w:shd w:val="clear" w:color="auto" w:fill="auto"/>
            <w:noWrap/>
            <w:vAlign w:val="center"/>
          </w:tcPr>
          <w:p w14:paraId="603D6B39">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60A8E9B8">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385893EC">
            <w:pPr>
              <w:jc w:val="center"/>
              <w:rPr>
                <w:rFonts w:hint="default" w:ascii="Times New Roman" w:hAnsi="Times New Roman" w:eastAsia="宋体" w:cs="Times New Roman"/>
                <w:i w:val="0"/>
                <w:iCs w:val="0"/>
                <w:color w:val="auto"/>
                <w:sz w:val="22"/>
                <w:szCs w:val="22"/>
                <w:u w:val="none"/>
              </w:rPr>
            </w:pPr>
          </w:p>
        </w:tc>
      </w:tr>
      <w:tr w14:paraId="530CDEF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5EECF6A2">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38B6604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铜仁市</w:t>
            </w:r>
          </w:p>
        </w:tc>
        <w:tc>
          <w:tcPr>
            <w:tcW w:w="694" w:type="pct"/>
            <w:tcBorders>
              <w:tl2br w:val="nil"/>
              <w:tr2bl w:val="nil"/>
            </w:tcBorders>
            <w:shd w:val="clear" w:color="auto" w:fill="auto"/>
            <w:noWrap/>
            <w:vAlign w:val="center"/>
          </w:tcPr>
          <w:p w14:paraId="6113C15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3955.05 </w:t>
            </w:r>
          </w:p>
        </w:tc>
        <w:tc>
          <w:tcPr>
            <w:tcW w:w="680" w:type="pct"/>
            <w:tcBorders>
              <w:tl2br w:val="nil"/>
              <w:tr2bl w:val="nil"/>
            </w:tcBorders>
            <w:shd w:val="clear" w:color="auto" w:fill="auto"/>
            <w:noWrap/>
            <w:vAlign w:val="center"/>
          </w:tcPr>
          <w:p w14:paraId="1477525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1054.91 </w:t>
            </w:r>
          </w:p>
        </w:tc>
        <w:tc>
          <w:tcPr>
            <w:tcW w:w="711" w:type="pct"/>
            <w:vMerge w:val="continue"/>
            <w:tcBorders>
              <w:tl2br w:val="nil"/>
              <w:tr2bl w:val="nil"/>
            </w:tcBorders>
            <w:shd w:val="clear" w:color="auto" w:fill="auto"/>
            <w:noWrap/>
            <w:vAlign w:val="center"/>
          </w:tcPr>
          <w:p w14:paraId="440F3734">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4925EDCD">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28C0F7C0">
            <w:pPr>
              <w:jc w:val="center"/>
              <w:rPr>
                <w:rFonts w:hint="default" w:ascii="Times New Roman" w:hAnsi="Times New Roman" w:eastAsia="宋体" w:cs="Times New Roman"/>
                <w:i w:val="0"/>
                <w:iCs w:val="0"/>
                <w:color w:val="auto"/>
                <w:sz w:val="22"/>
                <w:szCs w:val="22"/>
                <w:u w:val="none"/>
              </w:rPr>
            </w:pPr>
          </w:p>
        </w:tc>
      </w:tr>
      <w:tr w14:paraId="74DAC3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089A344D">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229A935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黔南州</w:t>
            </w:r>
          </w:p>
        </w:tc>
        <w:tc>
          <w:tcPr>
            <w:tcW w:w="694" w:type="pct"/>
            <w:tcBorders>
              <w:tl2br w:val="nil"/>
              <w:tr2bl w:val="nil"/>
            </w:tcBorders>
            <w:shd w:val="clear" w:color="auto" w:fill="auto"/>
            <w:noWrap/>
            <w:vAlign w:val="center"/>
          </w:tcPr>
          <w:p w14:paraId="00779FC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892.24 </w:t>
            </w:r>
          </w:p>
        </w:tc>
        <w:tc>
          <w:tcPr>
            <w:tcW w:w="680" w:type="pct"/>
            <w:tcBorders>
              <w:tl2br w:val="nil"/>
              <w:tr2bl w:val="nil"/>
            </w:tcBorders>
            <w:shd w:val="clear" w:color="auto" w:fill="auto"/>
            <w:noWrap/>
            <w:vAlign w:val="center"/>
          </w:tcPr>
          <w:p w14:paraId="0E21484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210.49 </w:t>
            </w:r>
          </w:p>
        </w:tc>
        <w:tc>
          <w:tcPr>
            <w:tcW w:w="711" w:type="pct"/>
            <w:vMerge w:val="continue"/>
            <w:tcBorders>
              <w:tl2br w:val="nil"/>
              <w:tr2bl w:val="nil"/>
            </w:tcBorders>
            <w:shd w:val="clear" w:color="auto" w:fill="auto"/>
            <w:noWrap/>
            <w:vAlign w:val="center"/>
          </w:tcPr>
          <w:p w14:paraId="626EF391">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468AB8FE">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5A1E763B">
            <w:pPr>
              <w:jc w:val="center"/>
              <w:rPr>
                <w:rFonts w:hint="default" w:ascii="Times New Roman" w:hAnsi="Times New Roman" w:eastAsia="宋体" w:cs="Times New Roman"/>
                <w:i w:val="0"/>
                <w:iCs w:val="0"/>
                <w:color w:val="auto"/>
                <w:sz w:val="22"/>
                <w:szCs w:val="22"/>
                <w:u w:val="none"/>
              </w:rPr>
            </w:pPr>
          </w:p>
        </w:tc>
      </w:tr>
      <w:tr w14:paraId="4B40CB6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43B866BD">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1BE307A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黔东南州</w:t>
            </w:r>
          </w:p>
        </w:tc>
        <w:tc>
          <w:tcPr>
            <w:tcW w:w="694" w:type="pct"/>
            <w:tcBorders>
              <w:tl2br w:val="nil"/>
              <w:tr2bl w:val="nil"/>
            </w:tcBorders>
            <w:shd w:val="clear" w:color="auto" w:fill="auto"/>
            <w:noWrap/>
            <w:vAlign w:val="center"/>
          </w:tcPr>
          <w:p w14:paraId="32325F4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114.44 </w:t>
            </w:r>
          </w:p>
        </w:tc>
        <w:tc>
          <w:tcPr>
            <w:tcW w:w="680" w:type="pct"/>
            <w:tcBorders>
              <w:tl2br w:val="nil"/>
              <w:tr2bl w:val="nil"/>
            </w:tcBorders>
            <w:shd w:val="clear" w:color="auto" w:fill="auto"/>
            <w:noWrap/>
            <w:vAlign w:val="center"/>
          </w:tcPr>
          <w:p w14:paraId="53CF1EB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21.26 </w:t>
            </w:r>
          </w:p>
        </w:tc>
        <w:tc>
          <w:tcPr>
            <w:tcW w:w="711" w:type="pct"/>
            <w:vMerge w:val="continue"/>
            <w:tcBorders>
              <w:tl2br w:val="nil"/>
              <w:tr2bl w:val="nil"/>
            </w:tcBorders>
            <w:shd w:val="clear" w:color="auto" w:fill="auto"/>
            <w:noWrap/>
            <w:vAlign w:val="center"/>
          </w:tcPr>
          <w:p w14:paraId="2720C5BC">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3F078DC4">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6232EFCA">
            <w:pPr>
              <w:jc w:val="center"/>
              <w:rPr>
                <w:rFonts w:hint="default" w:ascii="Times New Roman" w:hAnsi="Times New Roman" w:eastAsia="宋体" w:cs="Times New Roman"/>
                <w:i w:val="0"/>
                <w:iCs w:val="0"/>
                <w:color w:val="auto"/>
                <w:sz w:val="22"/>
                <w:szCs w:val="22"/>
                <w:u w:val="none"/>
              </w:rPr>
            </w:pPr>
          </w:p>
        </w:tc>
      </w:tr>
      <w:tr w14:paraId="562C90B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52382B2C">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6E93CD7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六盘水市</w:t>
            </w:r>
          </w:p>
        </w:tc>
        <w:tc>
          <w:tcPr>
            <w:tcW w:w="694" w:type="pct"/>
            <w:tcBorders>
              <w:tl2br w:val="nil"/>
              <w:tr2bl w:val="nil"/>
            </w:tcBorders>
            <w:shd w:val="clear" w:color="auto" w:fill="auto"/>
            <w:noWrap/>
            <w:vAlign w:val="center"/>
          </w:tcPr>
          <w:p w14:paraId="1936483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624.74 </w:t>
            </w:r>
          </w:p>
        </w:tc>
        <w:tc>
          <w:tcPr>
            <w:tcW w:w="680" w:type="pct"/>
            <w:tcBorders>
              <w:tl2br w:val="nil"/>
              <w:tr2bl w:val="nil"/>
            </w:tcBorders>
            <w:shd w:val="clear" w:color="auto" w:fill="auto"/>
            <w:noWrap/>
            <w:vAlign w:val="center"/>
          </w:tcPr>
          <w:p w14:paraId="13C7E73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108.25 </w:t>
            </w:r>
          </w:p>
        </w:tc>
        <w:tc>
          <w:tcPr>
            <w:tcW w:w="711" w:type="pct"/>
            <w:vMerge w:val="continue"/>
            <w:tcBorders>
              <w:tl2br w:val="nil"/>
              <w:tr2bl w:val="nil"/>
            </w:tcBorders>
            <w:shd w:val="clear" w:color="auto" w:fill="auto"/>
            <w:noWrap/>
            <w:vAlign w:val="center"/>
          </w:tcPr>
          <w:p w14:paraId="56C5AA27">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45A8F545">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60C67FFA">
            <w:pPr>
              <w:jc w:val="center"/>
              <w:rPr>
                <w:rFonts w:hint="default" w:ascii="Times New Roman" w:hAnsi="Times New Roman" w:eastAsia="宋体" w:cs="Times New Roman"/>
                <w:i w:val="0"/>
                <w:iCs w:val="0"/>
                <w:color w:val="auto"/>
                <w:sz w:val="22"/>
                <w:szCs w:val="22"/>
                <w:u w:val="none"/>
              </w:rPr>
            </w:pPr>
          </w:p>
        </w:tc>
      </w:tr>
      <w:tr w14:paraId="203ED1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vMerge w:val="continue"/>
            <w:tcBorders>
              <w:tl2br w:val="nil"/>
              <w:tr2bl w:val="nil"/>
            </w:tcBorders>
            <w:shd w:val="clear" w:color="auto" w:fill="auto"/>
            <w:noWrap/>
            <w:vAlign w:val="center"/>
          </w:tcPr>
          <w:p w14:paraId="3C44A897">
            <w:pPr>
              <w:jc w:val="center"/>
              <w:rPr>
                <w:rFonts w:hint="default" w:ascii="Times New Roman" w:hAnsi="Times New Roman" w:eastAsia="宋体" w:cs="Times New Roman"/>
                <w:i w:val="0"/>
                <w:iCs w:val="0"/>
                <w:color w:val="auto"/>
                <w:sz w:val="22"/>
                <w:szCs w:val="22"/>
                <w:u w:val="none"/>
              </w:rPr>
            </w:pPr>
          </w:p>
        </w:tc>
        <w:tc>
          <w:tcPr>
            <w:tcW w:w="676" w:type="pct"/>
            <w:tcBorders>
              <w:tl2br w:val="nil"/>
              <w:tr2bl w:val="nil"/>
            </w:tcBorders>
            <w:shd w:val="clear" w:color="auto" w:fill="auto"/>
            <w:noWrap/>
            <w:vAlign w:val="center"/>
          </w:tcPr>
          <w:p w14:paraId="50A1C49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安顺市</w:t>
            </w:r>
          </w:p>
        </w:tc>
        <w:tc>
          <w:tcPr>
            <w:tcW w:w="694" w:type="pct"/>
            <w:tcBorders>
              <w:tl2br w:val="nil"/>
              <w:tr2bl w:val="nil"/>
            </w:tcBorders>
            <w:shd w:val="clear" w:color="auto" w:fill="auto"/>
            <w:noWrap/>
            <w:vAlign w:val="center"/>
          </w:tcPr>
          <w:p w14:paraId="460A3AD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616.46 </w:t>
            </w:r>
          </w:p>
        </w:tc>
        <w:tc>
          <w:tcPr>
            <w:tcW w:w="680" w:type="pct"/>
            <w:tcBorders>
              <w:tl2br w:val="nil"/>
              <w:tr2bl w:val="nil"/>
            </w:tcBorders>
            <w:shd w:val="clear" w:color="auto" w:fill="auto"/>
            <w:noWrap/>
            <w:vAlign w:val="center"/>
          </w:tcPr>
          <w:p w14:paraId="5CD0315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98.84 </w:t>
            </w:r>
          </w:p>
        </w:tc>
        <w:tc>
          <w:tcPr>
            <w:tcW w:w="711" w:type="pct"/>
            <w:vMerge w:val="continue"/>
            <w:tcBorders>
              <w:tl2br w:val="nil"/>
              <w:tr2bl w:val="nil"/>
            </w:tcBorders>
            <w:shd w:val="clear" w:color="auto" w:fill="auto"/>
            <w:noWrap/>
            <w:vAlign w:val="center"/>
          </w:tcPr>
          <w:p w14:paraId="1D03FBD3">
            <w:pPr>
              <w:jc w:val="center"/>
              <w:rPr>
                <w:rFonts w:hint="default" w:ascii="Times New Roman" w:hAnsi="Times New Roman" w:eastAsia="宋体" w:cs="Times New Roman"/>
                <w:i w:val="0"/>
                <w:iCs w:val="0"/>
                <w:color w:val="auto"/>
                <w:sz w:val="22"/>
                <w:szCs w:val="22"/>
                <w:u w:val="none"/>
              </w:rPr>
            </w:pPr>
          </w:p>
        </w:tc>
        <w:tc>
          <w:tcPr>
            <w:tcW w:w="666" w:type="pct"/>
            <w:vMerge w:val="continue"/>
            <w:tcBorders>
              <w:tl2br w:val="nil"/>
              <w:tr2bl w:val="nil"/>
            </w:tcBorders>
            <w:shd w:val="clear" w:color="auto" w:fill="auto"/>
            <w:noWrap/>
            <w:vAlign w:val="center"/>
          </w:tcPr>
          <w:p w14:paraId="5D6B840E">
            <w:pPr>
              <w:jc w:val="center"/>
              <w:rPr>
                <w:rFonts w:hint="default" w:ascii="Times New Roman" w:hAnsi="Times New Roman" w:eastAsia="宋体" w:cs="Times New Roman"/>
                <w:i w:val="0"/>
                <w:iCs w:val="0"/>
                <w:color w:val="auto"/>
                <w:sz w:val="22"/>
                <w:szCs w:val="22"/>
                <w:u w:val="none"/>
              </w:rPr>
            </w:pPr>
          </w:p>
        </w:tc>
        <w:tc>
          <w:tcPr>
            <w:tcW w:w="676" w:type="pct"/>
            <w:vMerge w:val="continue"/>
            <w:tcBorders>
              <w:tl2br w:val="nil"/>
              <w:tr2bl w:val="nil"/>
            </w:tcBorders>
            <w:shd w:val="clear" w:color="auto" w:fill="auto"/>
            <w:noWrap/>
            <w:vAlign w:val="center"/>
          </w:tcPr>
          <w:p w14:paraId="49B842B4">
            <w:pPr>
              <w:jc w:val="center"/>
              <w:rPr>
                <w:rFonts w:hint="default" w:ascii="Times New Roman" w:hAnsi="Times New Roman" w:eastAsia="宋体" w:cs="Times New Roman"/>
                <w:i w:val="0"/>
                <w:iCs w:val="0"/>
                <w:color w:val="auto"/>
                <w:sz w:val="22"/>
                <w:szCs w:val="22"/>
                <w:u w:val="none"/>
              </w:rPr>
            </w:pPr>
          </w:p>
        </w:tc>
      </w:tr>
      <w:tr w14:paraId="1EDF56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895" w:type="pct"/>
            <w:tcBorders>
              <w:tl2br w:val="nil"/>
              <w:tr2bl w:val="nil"/>
            </w:tcBorders>
            <w:shd w:val="clear" w:color="auto" w:fill="auto"/>
            <w:noWrap/>
            <w:vAlign w:val="center"/>
          </w:tcPr>
          <w:p w14:paraId="7C18141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总计</w:t>
            </w:r>
          </w:p>
        </w:tc>
        <w:tc>
          <w:tcPr>
            <w:tcW w:w="676" w:type="pct"/>
            <w:tcBorders>
              <w:tl2br w:val="nil"/>
              <w:tr2bl w:val="nil"/>
            </w:tcBorders>
            <w:shd w:val="clear" w:color="auto" w:fill="auto"/>
            <w:noWrap/>
            <w:vAlign w:val="center"/>
          </w:tcPr>
          <w:p w14:paraId="3AB259DE">
            <w:pPr>
              <w:jc w:val="center"/>
              <w:rPr>
                <w:rFonts w:hint="default" w:ascii="Times New Roman" w:hAnsi="Times New Roman" w:eastAsia="宋体" w:cs="Times New Roman"/>
                <w:b/>
                <w:bCs/>
                <w:i w:val="0"/>
                <w:iCs w:val="0"/>
                <w:color w:val="auto"/>
                <w:sz w:val="22"/>
                <w:szCs w:val="22"/>
                <w:u w:val="none"/>
              </w:rPr>
            </w:pPr>
          </w:p>
        </w:tc>
        <w:tc>
          <w:tcPr>
            <w:tcW w:w="694" w:type="pct"/>
            <w:tcBorders>
              <w:tl2br w:val="nil"/>
              <w:tr2bl w:val="nil"/>
            </w:tcBorders>
            <w:shd w:val="clear" w:color="auto" w:fill="auto"/>
            <w:noWrap/>
            <w:vAlign w:val="center"/>
          </w:tcPr>
          <w:p w14:paraId="3E735E1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 xml:space="preserve">61712.79 </w:t>
            </w:r>
          </w:p>
        </w:tc>
        <w:tc>
          <w:tcPr>
            <w:tcW w:w="680" w:type="pct"/>
            <w:tcBorders>
              <w:tl2br w:val="nil"/>
              <w:tr2bl w:val="nil"/>
            </w:tcBorders>
            <w:shd w:val="clear" w:color="auto" w:fill="auto"/>
            <w:noWrap/>
            <w:vAlign w:val="center"/>
          </w:tcPr>
          <w:p w14:paraId="1F5F55B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 xml:space="preserve">14900.00 </w:t>
            </w:r>
          </w:p>
        </w:tc>
        <w:tc>
          <w:tcPr>
            <w:tcW w:w="711" w:type="pct"/>
            <w:tcBorders>
              <w:tl2br w:val="nil"/>
              <w:tr2bl w:val="nil"/>
            </w:tcBorders>
            <w:shd w:val="clear" w:color="auto" w:fill="auto"/>
            <w:noWrap/>
            <w:vAlign w:val="center"/>
          </w:tcPr>
          <w:p w14:paraId="4757CFF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eastAsia" w:ascii="Times New Roman" w:hAnsi="Times New Roman" w:eastAsia="宋体" w:cs="Times New Roman"/>
                <w:b/>
                <w:bCs/>
                <w:i w:val="0"/>
                <w:iCs w:val="0"/>
                <w:color w:val="auto"/>
                <w:kern w:val="0"/>
                <w:sz w:val="22"/>
                <w:szCs w:val="22"/>
                <w:u w:val="none"/>
                <w:lang w:val="en-US" w:eastAsia="zh-CN" w:bidi="ar"/>
              </w:rPr>
              <w:t>73.32</w:t>
            </w:r>
            <w:r>
              <w:rPr>
                <w:rFonts w:hint="default" w:ascii="Times New Roman" w:hAnsi="Times New Roman" w:eastAsia="宋体" w:cs="Times New Roman"/>
                <w:b/>
                <w:bCs/>
                <w:i w:val="0"/>
                <w:iCs w:val="0"/>
                <w:color w:val="auto"/>
                <w:kern w:val="0"/>
                <w:sz w:val="22"/>
                <w:szCs w:val="22"/>
                <w:u w:val="none"/>
                <w:lang w:val="en-US" w:eastAsia="zh-CN" w:bidi="ar"/>
              </w:rPr>
              <w:t xml:space="preserve"> </w:t>
            </w:r>
          </w:p>
        </w:tc>
        <w:tc>
          <w:tcPr>
            <w:tcW w:w="666" w:type="pct"/>
            <w:tcBorders>
              <w:tl2br w:val="nil"/>
              <w:tr2bl w:val="nil"/>
            </w:tcBorders>
            <w:shd w:val="clear" w:color="auto" w:fill="auto"/>
            <w:noWrap/>
            <w:vAlign w:val="center"/>
          </w:tcPr>
          <w:p w14:paraId="28DAAE6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lang w:val="en-US"/>
              </w:rPr>
            </w:pPr>
            <w:r>
              <w:rPr>
                <w:rFonts w:hint="eastAsia" w:ascii="Times New Roman" w:hAnsi="Times New Roman" w:eastAsia="宋体" w:cs="Times New Roman"/>
                <w:b/>
                <w:bCs/>
                <w:i w:val="0"/>
                <w:iCs w:val="0"/>
                <w:color w:val="auto"/>
                <w:kern w:val="0"/>
                <w:sz w:val="22"/>
                <w:szCs w:val="22"/>
                <w:u w:val="none"/>
                <w:lang w:val="en-US" w:eastAsia="zh-CN" w:bidi="ar"/>
              </w:rPr>
              <w:t>75.05</w:t>
            </w:r>
          </w:p>
        </w:tc>
        <w:tc>
          <w:tcPr>
            <w:tcW w:w="676" w:type="pct"/>
            <w:tcBorders>
              <w:tl2br w:val="nil"/>
              <w:tr2bl w:val="nil"/>
            </w:tcBorders>
            <w:shd w:val="clear" w:color="auto" w:fill="auto"/>
            <w:noWrap/>
            <w:vAlign w:val="center"/>
          </w:tcPr>
          <w:p w14:paraId="2093622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eastAsia" w:ascii="Times New Roman" w:hAnsi="Times New Roman" w:eastAsia="宋体" w:cs="Times New Roman"/>
                <w:b/>
                <w:bCs/>
                <w:i w:val="0"/>
                <w:iCs w:val="0"/>
                <w:color w:val="auto"/>
                <w:kern w:val="0"/>
                <w:sz w:val="22"/>
                <w:szCs w:val="22"/>
                <w:u w:val="none"/>
                <w:lang w:val="en-US" w:eastAsia="zh-CN" w:bidi="ar"/>
              </w:rPr>
              <w:t>1.73</w:t>
            </w:r>
            <w:r>
              <w:rPr>
                <w:rFonts w:hint="default" w:ascii="Times New Roman" w:hAnsi="Times New Roman" w:eastAsia="宋体" w:cs="Times New Roman"/>
                <w:b/>
                <w:bCs/>
                <w:i w:val="0"/>
                <w:iCs w:val="0"/>
                <w:color w:val="auto"/>
                <w:kern w:val="0"/>
                <w:sz w:val="22"/>
                <w:szCs w:val="22"/>
                <w:u w:val="none"/>
                <w:lang w:val="en-US" w:eastAsia="zh-CN" w:bidi="ar"/>
              </w:rPr>
              <w:t xml:space="preserve"> </w:t>
            </w:r>
          </w:p>
        </w:tc>
      </w:tr>
    </w:tbl>
    <w:p w14:paraId="0BE42086">
      <w:pPr>
        <w:pStyle w:val="18"/>
        <w:ind w:left="0" w:leftChars="0" w:firstLine="0" w:firstLineChars="0"/>
        <w:rPr>
          <w:rFonts w:hint="eastAsia" w:ascii="Times New Roman" w:hAnsi="Times New Roman" w:eastAsia="宋体" w:cs="Times New Roman"/>
          <w:color w:val="auto"/>
          <w:kern w:val="0"/>
          <w:szCs w:val="20"/>
          <w:lang w:val="en-US" w:eastAsia="zh-CN"/>
        </w:rPr>
      </w:pPr>
      <w:r>
        <w:rPr>
          <w:rFonts w:hint="eastAsia" w:ascii="Times New Roman" w:hAnsi="Times New Roman" w:eastAsia="宋体" w:cs="Times New Roman"/>
          <w:color w:val="auto"/>
          <w:kern w:val="0"/>
          <w:szCs w:val="20"/>
          <w:lang w:val="en-US" w:eastAsia="zh-CN"/>
        </w:rPr>
        <w:t>注：省管河道干流与支流之间存在交叉区域，故水土流失面积大于全省水土流失总面积。</w:t>
      </w:r>
    </w:p>
    <w:p w14:paraId="5C26E163">
      <w:pPr>
        <w:rPr>
          <w:rFonts w:hint="eastAsia"/>
          <w:color w:val="auto"/>
          <w:lang w:val="en-US" w:eastAsia="zh-CN"/>
        </w:rPr>
        <w:sectPr>
          <w:headerReference r:id="rId10" w:type="default"/>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C599BC4">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114" w:name="_Toc12160"/>
      <w:bookmarkStart w:id="115" w:name="_Toc24955"/>
      <w:bookmarkStart w:id="116" w:name="_Toc20815"/>
      <w:bookmarkStart w:id="117" w:name="_Toc8788"/>
      <w:r>
        <w:rPr>
          <w:rFonts w:hint="eastAsia" w:ascii="方正小标宋_GBK" w:hAnsi="Times New Roman" w:eastAsia="方正小标宋_GBK" w:cs="Times New Roman"/>
          <w:b/>
          <w:bCs w:val="0"/>
          <w:color w:val="auto"/>
          <w:kern w:val="44"/>
          <w:sz w:val="36"/>
          <w:szCs w:val="36"/>
          <w:lang w:val="en-US" w:eastAsia="zh-CN" w:bidi="ar-SA"/>
        </w:rPr>
        <w:t xml:space="preserve">第四章 </w:t>
      </w:r>
      <w:bookmarkEnd w:id="113"/>
      <w:bookmarkEnd w:id="114"/>
      <w:bookmarkEnd w:id="115"/>
      <w:r>
        <w:rPr>
          <w:rFonts w:hint="eastAsia" w:ascii="方正小标宋_GBK" w:hAnsi="Times New Roman" w:eastAsia="方正小标宋_GBK" w:cs="Times New Roman"/>
          <w:b/>
          <w:bCs w:val="0"/>
          <w:color w:val="auto"/>
          <w:kern w:val="44"/>
          <w:sz w:val="36"/>
          <w:szCs w:val="36"/>
          <w:lang w:val="en-US" w:eastAsia="zh-CN" w:bidi="ar-SA"/>
        </w:rPr>
        <w:t>水土流失预防</w:t>
      </w:r>
      <w:bookmarkEnd w:id="116"/>
      <w:bookmarkEnd w:id="117"/>
    </w:p>
    <w:p w14:paraId="59B0B865">
      <w:pPr>
        <w:pStyle w:val="12"/>
        <w:keepNext w:val="0"/>
        <w:keepLines w:val="0"/>
        <w:pageBreakBefore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遵循</w:t>
      </w:r>
      <w:r>
        <w:rPr>
          <w:rFonts w:hint="default" w:ascii="Times New Roman" w:hAnsi="Times New Roman" w:eastAsia="宋体" w:cs="Times New Roman"/>
          <w:color w:val="auto"/>
          <w:sz w:val="28"/>
          <w:szCs w:val="28"/>
          <w:lang w:val="en-US" w:eastAsia="zh-CN"/>
        </w:rPr>
        <w:t>“预防为主，保护优先”，“大预防、小治理”</w:t>
      </w:r>
      <w:r>
        <w:rPr>
          <w:rFonts w:hint="default" w:ascii="Times New Roman" w:hAnsi="Times New Roman" w:cs="Times New Roman"/>
          <w:color w:val="auto"/>
          <w:sz w:val="28"/>
          <w:szCs w:val="28"/>
          <w:lang w:val="en-US" w:eastAsia="zh-CN"/>
        </w:rPr>
        <w:t>的原则</w:t>
      </w:r>
      <w:r>
        <w:rPr>
          <w:rFonts w:hint="default" w:ascii="Times New Roman" w:hAnsi="Times New Roman" w:eastAsia="宋体" w:cs="Times New Roman"/>
          <w:color w:val="auto"/>
          <w:sz w:val="28"/>
          <w:szCs w:val="28"/>
          <w:lang w:val="en-US" w:eastAsia="zh-CN"/>
        </w:rPr>
        <w:t>。在全省所有空间实施全面预防保护，从源头上有效控制水土流失，保护地表植被和治理成果，扩大林草覆盖，控制石漠化，促进水土资源保护与合理利用。加强监督、严格执法，全面监控和治理生产建设活动和项目造成的水土流失。</w:t>
      </w:r>
    </w:p>
    <w:p w14:paraId="4385D9BD">
      <w:pPr>
        <w:pStyle w:val="7"/>
        <w:bidi w:val="0"/>
        <w:rPr>
          <w:rFonts w:hint="eastAsia" w:ascii="黑体" w:hAnsi="黑体" w:eastAsia="黑体" w:cs="黑体"/>
          <w:color w:val="auto"/>
          <w:sz w:val="32"/>
          <w:szCs w:val="32"/>
          <w:lang w:val="en-US" w:eastAsia="zh-CN"/>
        </w:rPr>
      </w:pPr>
      <w:bookmarkStart w:id="118" w:name="_Toc30629"/>
      <w:bookmarkStart w:id="119" w:name="_Toc12483"/>
      <w:bookmarkStart w:id="120" w:name="_Toc566"/>
      <w:r>
        <w:rPr>
          <w:rFonts w:hint="eastAsia" w:ascii="黑体" w:hAnsi="黑体" w:eastAsia="黑体" w:cs="黑体"/>
          <w:color w:val="auto"/>
          <w:sz w:val="32"/>
          <w:szCs w:val="32"/>
          <w:lang w:val="en-US" w:eastAsia="zh-CN"/>
        </w:rPr>
        <w:t>一、预防范围</w:t>
      </w:r>
      <w:bookmarkEnd w:id="118"/>
      <w:bookmarkEnd w:id="119"/>
      <w:bookmarkEnd w:id="120"/>
    </w:p>
    <w:p w14:paraId="408A543A">
      <w:pPr>
        <w:pStyle w:val="12"/>
        <w:keepNext w:val="0"/>
        <w:keepLines w:val="0"/>
        <w:pageBreakBefore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以国家与省级水土流失重点预防区划分结果为基础，主要涵盖水土流失重点预防区，还包括重要河流两岸及源头，大中型水库周边，重要饮用水水源地，水土保持主导功能为水源涵养、生态维护、水质维护的区域，重要生态功能区等未划入重点预防区的部分。</w:t>
      </w:r>
    </w:p>
    <w:p w14:paraId="28997B44">
      <w:pPr>
        <w:adjustRightInd w:val="0"/>
        <w:spacing w:after="0" w:line="360" w:lineRule="auto"/>
        <w:ind w:firstLine="562" w:firstLineChars="200"/>
        <w:rPr>
          <w:rFonts w:hint="default" w:ascii="Times New Roman" w:hAnsi="Times New Roman" w:cs="Times New Roman"/>
          <w:b/>
          <w:color w:val="auto"/>
          <w:sz w:val="28"/>
          <w:szCs w:val="28"/>
          <w:lang w:eastAsia="zh-CN"/>
        </w:rPr>
      </w:pPr>
      <w:r>
        <w:rPr>
          <w:rFonts w:hint="default" w:ascii="Times New Roman" w:hAnsi="Times New Roman" w:cs="Times New Roman"/>
          <w:b/>
          <w:color w:val="auto"/>
          <w:sz w:val="28"/>
          <w:szCs w:val="28"/>
          <w:lang w:val="en-US" w:eastAsia="zh-CN"/>
        </w:rPr>
        <w:t>（1）</w:t>
      </w:r>
      <w:r>
        <w:rPr>
          <w:rFonts w:hint="default" w:ascii="Times New Roman" w:hAnsi="Times New Roman" w:cs="Times New Roman"/>
          <w:b/>
          <w:color w:val="auto"/>
          <w:sz w:val="28"/>
          <w:szCs w:val="28"/>
          <w:lang w:eastAsia="zh-CN"/>
        </w:rPr>
        <w:t>水土流失重点预防区</w:t>
      </w:r>
    </w:p>
    <w:p w14:paraId="679B0EC3">
      <w:pPr>
        <w:pStyle w:val="12"/>
        <w:keepNext w:val="0"/>
        <w:keepLines w:val="0"/>
        <w:pageBreakBefore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根据</w:t>
      </w:r>
      <w:r>
        <w:rPr>
          <w:rFonts w:hint="default" w:ascii="Times New Roman" w:hAnsi="Times New Roman" w:cs="Times New Roman"/>
          <w:color w:val="auto"/>
          <w:sz w:val="28"/>
          <w:szCs w:val="28"/>
        </w:rPr>
        <w:t>《贵州省水土保持规划（2016-2030年）》</w:t>
      </w:r>
      <w:r>
        <w:rPr>
          <w:rFonts w:hint="default"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lang w:val="en-US" w:eastAsia="zh-CN"/>
        </w:rPr>
        <w:t>全省水土流失重点预防区共涉及60个县（市、区、特区）274个乡镇，行政区面积37716.37</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。其中：国家级水土流失重点预防区涉及10个县59个乡镇，行政区面积10285.30</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；省级水土流失重点预防区涉及57个县（市、区、特区）215个乡镇，行政区面积27431.08</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。全省水土流失重点预防面积18358.39</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，其中国家级水土流失重点预防面积2740.16</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，省级水土流失重点预防面积15618.23</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cs="Times New Roman"/>
          <w:color w:val="auto"/>
          <w:sz w:val="28"/>
          <w:szCs w:val="28"/>
          <w:lang w:val="en-US" w:eastAsia="zh-CN"/>
        </w:rPr>
        <w:t>。</w:t>
      </w:r>
    </w:p>
    <w:p w14:paraId="0481FDFF">
      <w:pPr>
        <w:adjustRightInd w:val="0"/>
        <w:spacing w:after="0" w:line="360" w:lineRule="auto"/>
        <w:ind w:firstLine="562" w:firstLineChars="200"/>
        <w:rPr>
          <w:rFonts w:hint="default" w:ascii="Times New Roman" w:hAnsi="Times New Roman" w:cs="Times New Roman"/>
          <w:b/>
          <w:color w:val="auto"/>
          <w:sz w:val="28"/>
          <w:szCs w:val="28"/>
          <w:lang w:val="en-US" w:eastAsia="zh-CN"/>
        </w:rPr>
      </w:pPr>
      <w:r>
        <w:rPr>
          <w:rFonts w:hint="default" w:ascii="Times New Roman" w:hAnsi="Times New Roman" w:cs="Times New Roman"/>
          <w:b/>
          <w:color w:val="auto"/>
          <w:sz w:val="28"/>
          <w:szCs w:val="28"/>
          <w:lang w:val="en-US" w:eastAsia="zh-CN"/>
        </w:rPr>
        <w:t>（2）重要河流两岸及源头区</w:t>
      </w:r>
    </w:p>
    <w:p w14:paraId="6F160CBE">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我省范围内长江、珠江流域水系干流及其主要一级支流（流域面积1000</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eastAsia="zh-CN"/>
        </w:rPr>
        <w:t>以上），以及对中心城市生态功能有重要影响河流的两岸与源头区，共涉及乌江、南北盘江等54条河流两岸，六冲河、都柳江等48条河流源头区，具体空间范围为第一道分水岭以内。</w:t>
      </w:r>
    </w:p>
    <w:p w14:paraId="253CE51E">
      <w:pPr>
        <w:adjustRightInd w:val="0"/>
        <w:spacing w:after="0" w:line="360" w:lineRule="auto"/>
        <w:ind w:firstLine="562" w:firstLineChars="200"/>
        <w:rPr>
          <w:rFonts w:hint="default" w:ascii="Times New Roman" w:hAnsi="Times New Roman" w:cs="Times New Roman"/>
          <w:b/>
          <w:color w:val="auto"/>
          <w:sz w:val="28"/>
          <w:szCs w:val="28"/>
          <w:lang w:eastAsia="zh-CN"/>
        </w:rPr>
      </w:pPr>
      <w:r>
        <w:rPr>
          <w:rFonts w:hint="default" w:ascii="Times New Roman" w:hAnsi="Times New Roman" w:cs="Times New Roman"/>
          <w:b/>
          <w:color w:val="auto"/>
          <w:sz w:val="28"/>
          <w:szCs w:val="28"/>
          <w:lang w:val="en-US" w:eastAsia="zh-CN"/>
        </w:rPr>
        <w:t>（3）</w:t>
      </w:r>
      <w:r>
        <w:rPr>
          <w:rFonts w:hint="default" w:ascii="Times New Roman" w:hAnsi="Times New Roman" w:cs="Times New Roman"/>
          <w:b/>
          <w:color w:val="auto"/>
          <w:sz w:val="28"/>
          <w:szCs w:val="28"/>
          <w:lang w:eastAsia="zh-CN"/>
        </w:rPr>
        <w:t>大中型水库周边</w:t>
      </w:r>
    </w:p>
    <w:p w14:paraId="5C12256D">
      <w:pPr>
        <w:adjustRightInd w:val="0"/>
        <w:spacing w:after="0" w:line="360" w:lineRule="auto"/>
        <w:ind w:firstLine="560" w:firstLineChars="200"/>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涉及</w:t>
      </w:r>
      <w:r>
        <w:rPr>
          <w:rFonts w:hint="eastAsia" w:ascii="Times New Roman" w:hAnsi="Times New Roman" w:cs="Times New Roman"/>
          <w:color w:val="auto"/>
          <w:sz w:val="28"/>
          <w:szCs w:val="28"/>
          <w:lang w:val="en-US" w:eastAsia="zh-CN"/>
        </w:rPr>
        <w:t>我</w:t>
      </w:r>
      <w:r>
        <w:rPr>
          <w:rFonts w:hint="default" w:ascii="Times New Roman" w:hAnsi="Times New Roman" w:cs="Times New Roman"/>
          <w:color w:val="auto"/>
          <w:sz w:val="28"/>
          <w:szCs w:val="28"/>
          <w:lang w:eastAsia="zh-CN"/>
        </w:rPr>
        <w:t>省已有的</w:t>
      </w:r>
      <w:r>
        <w:rPr>
          <w:rFonts w:hint="default" w:ascii="Times New Roman" w:hAnsi="Times New Roman" w:cs="Times New Roman"/>
          <w:color w:val="auto"/>
          <w:sz w:val="28"/>
          <w:szCs w:val="28"/>
          <w:lang w:val="en-US" w:eastAsia="zh-CN"/>
        </w:rPr>
        <w:t>110</w:t>
      </w:r>
      <w:r>
        <w:rPr>
          <w:rFonts w:hint="default" w:ascii="Times New Roman" w:hAnsi="Times New Roman" w:cs="Times New Roman"/>
          <w:color w:val="auto"/>
          <w:sz w:val="28"/>
          <w:szCs w:val="28"/>
          <w:lang w:eastAsia="zh-CN"/>
        </w:rPr>
        <w:t>座</w:t>
      </w:r>
      <w:r>
        <w:rPr>
          <w:rStyle w:val="22"/>
          <w:rFonts w:hint="default" w:ascii="Times New Roman" w:hAnsi="Times New Roman" w:cs="Times New Roman"/>
          <w:color w:val="auto"/>
          <w:sz w:val="28"/>
          <w:szCs w:val="28"/>
          <w:lang w:eastAsia="zh-CN"/>
        </w:rPr>
        <w:t>[</w:t>
      </w:r>
      <w:r>
        <w:rPr>
          <w:rStyle w:val="22"/>
          <w:rFonts w:hint="default" w:ascii="Times New Roman" w:hAnsi="Times New Roman" w:cs="Times New Roman"/>
          <w:color w:val="auto"/>
          <w:sz w:val="28"/>
          <w:szCs w:val="28"/>
          <w:lang w:eastAsia="zh-CN"/>
        </w:rPr>
        <w:footnoteReference w:id="10"/>
      </w:r>
      <w:r>
        <w:rPr>
          <w:rStyle w:val="22"/>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eastAsia="zh-CN"/>
        </w:rPr>
        <w:t>和在建的大中型水库周边，主要预防范围为大坝以上3</w:t>
      </w:r>
      <w:r>
        <w:rPr>
          <w:rFonts w:hint="default" w:ascii="Times New Roman" w:hAnsi="Times New Roman" w:cs="Times New Roman"/>
          <w:color w:val="auto"/>
          <w:sz w:val="28"/>
          <w:szCs w:val="28"/>
          <w:lang w:val="en-US" w:eastAsia="zh-CN"/>
        </w:rPr>
        <w:t>千米</w:t>
      </w:r>
      <w:r>
        <w:rPr>
          <w:rFonts w:hint="default" w:ascii="Times New Roman" w:hAnsi="Times New Roman" w:cs="Times New Roman"/>
          <w:color w:val="auto"/>
          <w:sz w:val="28"/>
          <w:szCs w:val="28"/>
          <w:lang w:eastAsia="zh-CN"/>
        </w:rPr>
        <w:t>以内的左右岸陆域汇水范围。</w:t>
      </w:r>
    </w:p>
    <w:p w14:paraId="633C680B">
      <w:pPr>
        <w:adjustRightInd w:val="0"/>
        <w:spacing w:after="0" w:line="360" w:lineRule="auto"/>
        <w:ind w:firstLine="562" w:firstLineChars="200"/>
        <w:rPr>
          <w:rFonts w:hint="default" w:ascii="Times New Roman" w:hAnsi="Times New Roman" w:cs="Times New Roman"/>
          <w:b/>
          <w:color w:val="auto"/>
          <w:sz w:val="28"/>
          <w:szCs w:val="28"/>
          <w:lang w:val="en-US" w:eastAsia="zh-CN"/>
        </w:rPr>
      </w:pPr>
      <w:r>
        <w:rPr>
          <w:rFonts w:hint="default" w:ascii="Times New Roman" w:hAnsi="Times New Roman" w:cs="Times New Roman"/>
          <w:b/>
          <w:color w:val="auto"/>
          <w:sz w:val="28"/>
          <w:szCs w:val="28"/>
          <w:lang w:val="en-US" w:eastAsia="zh-CN"/>
        </w:rPr>
        <w:t>（4）重要饮用水水源地</w:t>
      </w:r>
    </w:p>
    <w:p w14:paraId="745047C2">
      <w:pPr>
        <w:adjustRightInd w:val="0"/>
        <w:spacing w:after="0" w:line="360" w:lineRule="auto"/>
        <w:ind w:firstLine="560" w:firstLineChars="200"/>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涉及我省的29个中心城市重要饮用水水源地</w:t>
      </w:r>
      <w:r>
        <w:rPr>
          <w:rStyle w:val="22"/>
          <w:rFonts w:hint="default" w:ascii="Times New Roman" w:hAnsi="Times New Roman" w:cs="Times New Roman"/>
          <w:b w:val="0"/>
          <w:bCs/>
          <w:color w:val="auto"/>
          <w:sz w:val="28"/>
          <w:szCs w:val="28"/>
          <w:lang w:val="en-US" w:eastAsia="zh-CN"/>
        </w:rPr>
        <w:t>[</w:t>
      </w:r>
      <w:r>
        <w:rPr>
          <w:rStyle w:val="22"/>
          <w:rFonts w:hint="default" w:ascii="Times New Roman" w:hAnsi="Times New Roman" w:cs="Times New Roman"/>
          <w:b w:val="0"/>
          <w:bCs/>
          <w:color w:val="auto"/>
          <w:sz w:val="28"/>
          <w:szCs w:val="28"/>
          <w:lang w:val="en-US" w:eastAsia="zh-CN"/>
        </w:rPr>
        <w:footnoteReference w:id="11"/>
      </w:r>
      <w:r>
        <w:rPr>
          <w:rStyle w:val="22"/>
          <w:rFonts w:hint="default"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，以及162个县级及以上城镇饮用水水源地</w:t>
      </w:r>
      <w:r>
        <w:rPr>
          <w:rStyle w:val="22"/>
          <w:rFonts w:hint="default" w:ascii="Times New Roman" w:hAnsi="Times New Roman" w:cs="Times New Roman"/>
          <w:b w:val="0"/>
          <w:bCs/>
          <w:color w:val="auto"/>
          <w:sz w:val="28"/>
          <w:szCs w:val="28"/>
          <w:lang w:val="en-US" w:eastAsia="zh-CN"/>
        </w:rPr>
        <w:t>[</w:t>
      </w:r>
      <w:r>
        <w:rPr>
          <w:rStyle w:val="22"/>
          <w:rFonts w:hint="default" w:ascii="Times New Roman" w:hAnsi="Times New Roman" w:cs="Times New Roman"/>
          <w:b w:val="0"/>
          <w:bCs/>
          <w:color w:val="auto"/>
          <w:sz w:val="28"/>
          <w:szCs w:val="28"/>
          <w:lang w:val="en-US" w:eastAsia="zh-CN"/>
        </w:rPr>
        <w:footnoteReference w:id="12"/>
      </w:r>
      <w:r>
        <w:rPr>
          <w:rStyle w:val="22"/>
          <w:rFonts w:hint="default"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，预防范围为划定的饮用水水源保护区范围。</w:t>
      </w:r>
    </w:p>
    <w:p w14:paraId="225EA703">
      <w:pPr>
        <w:adjustRightInd w:val="0"/>
        <w:spacing w:after="0" w:line="360" w:lineRule="auto"/>
        <w:ind w:firstLine="562" w:firstLineChars="200"/>
        <w:rPr>
          <w:rFonts w:hint="default" w:ascii="Times New Roman" w:hAnsi="Times New Roman" w:cs="Times New Roman"/>
          <w:b/>
          <w:color w:val="auto"/>
          <w:sz w:val="28"/>
          <w:szCs w:val="28"/>
          <w:lang w:val="en-US" w:eastAsia="zh-CN"/>
        </w:rPr>
      </w:pPr>
      <w:r>
        <w:rPr>
          <w:rFonts w:hint="default" w:ascii="Times New Roman" w:hAnsi="Times New Roman" w:cs="Times New Roman"/>
          <w:b/>
          <w:color w:val="auto"/>
          <w:sz w:val="28"/>
          <w:szCs w:val="28"/>
          <w:lang w:val="en-US" w:eastAsia="zh-CN"/>
        </w:rPr>
        <w:t>（5）重要生态功能区</w:t>
      </w:r>
    </w:p>
    <w:p w14:paraId="6D6F2799">
      <w:pPr>
        <w:adjustRightInd w:val="0"/>
        <w:spacing w:after="0" w:line="360" w:lineRule="auto"/>
        <w:ind w:firstLine="560" w:firstLineChars="200"/>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涉及我省重要生态功能区，包括威宁、罗甸等21个县级行政单元。其中国家级重点生态功能区有9个县级行政单元，区域土地面积26411</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cs="Times New Roman"/>
          <w:b w:val="0"/>
          <w:bCs/>
          <w:color w:val="auto"/>
          <w:sz w:val="28"/>
          <w:szCs w:val="28"/>
          <w:lang w:val="en-US" w:eastAsia="zh-CN"/>
        </w:rPr>
        <w:t>，占全省的15.01%；省级重点生态功能区有12个县级行政单元，区域土地面积22557</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cs="Times New Roman"/>
          <w:b w:val="0"/>
          <w:bCs/>
          <w:color w:val="auto"/>
          <w:sz w:val="28"/>
          <w:szCs w:val="28"/>
          <w:lang w:val="en-US" w:eastAsia="zh-CN"/>
        </w:rPr>
        <w:t>，占全省的12.82%</w:t>
      </w:r>
      <w:r>
        <w:rPr>
          <w:rStyle w:val="22"/>
          <w:rFonts w:hint="default" w:ascii="Times New Roman" w:hAnsi="Times New Roman" w:cs="Times New Roman"/>
          <w:b w:val="0"/>
          <w:bCs/>
          <w:color w:val="auto"/>
          <w:sz w:val="28"/>
          <w:szCs w:val="28"/>
          <w:lang w:val="en-US" w:eastAsia="zh-CN"/>
        </w:rPr>
        <w:t>[</w:t>
      </w:r>
      <w:r>
        <w:rPr>
          <w:rStyle w:val="22"/>
          <w:rFonts w:hint="default" w:ascii="Times New Roman" w:hAnsi="Times New Roman" w:cs="Times New Roman"/>
          <w:b w:val="0"/>
          <w:bCs/>
          <w:color w:val="auto"/>
          <w:sz w:val="28"/>
          <w:szCs w:val="28"/>
          <w:lang w:val="en-US" w:eastAsia="zh-CN"/>
        </w:rPr>
        <w:footnoteReference w:id="13"/>
      </w:r>
      <w:r>
        <w:rPr>
          <w:rStyle w:val="22"/>
          <w:rFonts w:hint="default" w:ascii="Times New Roman" w:hAnsi="Times New Roman" w:cs="Times New Roman"/>
          <w:b w:val="0"/>
          <w:bCs/>
          <w:color w:val="auto"/>
          <w:sz w:val="28"/>
          <w:szCs w:val="28"/>
          <w:lang w:val="en-US" w:eastAsia="zh-CN"/>
        </w:rPr>
        <w:t>]</w:t>
      </w:r>
      <w:r>
        <w:rPr>
          <w:rFonts w:hint="default" w:ascii="Times New Roman" w:hAnsi="Times New Roman" w:cs="Times New Roman"/>
          <w:b w:val="0"/>
          <w:bCs/>
          <w:color w:val="auto"/>
          <w:sz w:val="28"/>
          <w:szCs w:val="28"/>
          <w:lang w:val="en-US" w:eastAsia="zh-CN"/>
        </w:rPr>
        <w:t>。</w:t>
      </w:r>
    </w:p>
    <w:p w14:paraId="52F1F75E">
      <w:pPr>
        <w:pStyle w:val="7"/>
        <w:bidi w:val="0"/>
        <w:rPr>
          <w:rFonts w:hint="default" w:ascii="黑体" w:hAnsi="黑体" w:eastAsia="黑体" w:cs="黑体"/>
          <w:color w:val="auto"/>
          <w:sz w:val="32"/>
          <w:szCs w:val="32"/>
          <w:lang w:val="en-US" w:eastAsia="zh-CN"/>
        </w:rPr>
      </w:pPr>
      <w:bookmarkStart w:id="121" w:name="_Toc29667"/>
      <w:bookmarkStart w:id="122" w:name="_Toc22044"/>
      <w:bookmarkStart w:id="123" w:name="_Toc14544"/>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预防</w:t>
      </w:r>
      <w:r>
        <w:rPr>
          <w:rFonts w:hint="eastAsia" w:ascii="黑体" w:hAnsi="黑体" w:eastAsia="黑体" w:cs="黑体"/>
          <w:color w:val="auto"/>
          <w:sz w:val="32"/>
          <w:szCs w:val="32"/>
          <w:lang w:val="en-US" w:eastAsia="zh-CN"/>
        </w:rPr>
        <w:t>对象</w:t>
      </w:r>
      <w:bookmarkEnd w:id="121"/>
      <w:bookmarkEnd w:id="122"/>
      <w:bookmarkEnd w:id="123"/>
    </w:p>
    <w:p w14:paraId="310F7376">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指在预防范围内需保护的林草植被、地面覆盖物、人工水土保持设施，主要包括以下几个方面：</w:t>
      </w:r>
    </w:p>
    <w:p w14:paraId="294897FE">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1</w:t>
      </w:r>
      <w:r>
        <w:rPr>
          <w:rFonts w:hint="default" w:ascii="Times New Roman" w:hAnsi="Times New Roman" w:eastAsia="宋体" w:cs="Times New Roman"/>
          <w:color w:val="auto"/>
          <w:sz w:val="28"/>
          <w:szCs w:val="28"/>
          <w:lang w:eastAsia="zh-CN"/>
        </w:rPr>
        <w:t>）天然林、郁闭度达到0.7以上的比较稳定的人工林以及覆盖度0.4以上的草原、草场和草地；</w:t>
      </w:r>
    </w:p>
    <w:p w14:paraId="13230A0D">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2</w:t>
      </w:r>
      <w:r>
        <w:rPr>
          <w:rFonts w:hint="default" w:ascii="Times New Roman" w:hAnsi="Times New Roman" w:eastAsia="宋体" w:cs="Times New Roman"/>
          <w:color w:val="auto"/>
          <w:sz w:val="28"/>
          <w:szCs w:val="28"/>
          <w:lang w:eastAsia="zh-CN"/>
        </w:rPr>
        <w:t>）受人为破坏后难以恢复和治理地带；</w:t>
      </w:r>
    </w:p>
    <w:p w14:paraId="4D9A78F9">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3</w:t>
      </w:r>
      <w:r>
        <w:rPr>
          <w:rFonts w:hint="default" w:ascii="Times New Roman" w:hAnsi="Times New Roman" w:eastAsia="宋体" w:cs="Times New Roman"/>
          <w:color w:val="auto"/>
          <w:sz w:val="28"/>
          <w:szCs w:val="28"/>
          <w:lang w:eastAsia="zh-CN"/>
        </w:rPr>
        <w:t>）河流的两岸及源头以及水库周边植物保护带；</w:t>
      </w:r>
    </w:p>
    <w:p w14:paraId="51F4DD9B">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4</w:t>
      </w:r>
      <w:r>
        <w:rPr>
          <w:rFonts w:hint="default" w:ascii="Times New Roman" w:hAnsi="Times New Roman" w:eastAsia="宋体" w:cs="Times New Roman"/>
          <w:color w:val="auto"/>
          <w:sz w:val="28"/>
          <w:szCs w:val="28"/>
          <w:lang w:eastAsia="zh-CN"/>
        </w:rPr>
        <w:t>）水土流失综合防治成果等其他水土保持设施。</w:t>
      </w:r>
    </w:p>
    <w:p w14:paraId="26ECE7A7">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预防范围内存在的局部水土流失要进行综合治理，促进预防措施的实施。</w:t>
      </w:r>
    </w:p>
    <w:p w14:paraId="4744AF40">
      <w:pPr>
        <w:pStyle w:val="7"/>
        <w:bidi w:val="0"/>
        <w:rPr>
          <w:rFonts w:hint="default" w:ascii="黑体" w:hAnsi="黑体" w:eastAsia="黑体" w:cs="黑体"/>
          <w:color w:val="auto"/>
          <w:sz w:val="32"/>
          <w:szCs w:val="32"/>
          <w:lang w:val="en-US" w:eastAsia="zh-CN"/>
        </w:rPr>
      </w:pPr>
      <w:bookmarkStart w:id="124" w:name="_Toc8605"/>
      <w:bookmarkStart w:id="125" w:name="_Toc4600"/>
      <w:bookmarkStart w:id="126" w:name="_Toc17589"/>
      <w:r>
        <w:rPr>
          <w:rFonts w:hint="eastAsia" w:ascii="黑体" w:hAnsi="黑体" w:eastAsia="黑体" w:cs="黑体"/>
          <w:color w:val="auto"/>
          <w:sz w:val="32"/>
          <w:szCs w:val="32"/>
          <w:lang w:val="en-US" w:eastAsia="zh-CN"/>
        </w:rPr>
        <w:t>三、措施</w:t>
      </w:r>
      <w:bookmarkEnd w:id="124"/>
      <w:bookmarkEnd w:id="125"/>
      <w:r>
        <w:rPr>
          <w:rFonts w:hint="eastAsia" w:ascii="黑体" w:hAnsi="黑体" w:eastAsia="黑体" w:cs="黑体"/>
          <w:color w:val="auto"/>
          <w:sz w:val="32"/>
          <w:szCs w:val="32"/>
          <w:lang w:val="en-US" w:eastAsia="zh-CN"/>
        </w:rPr>
        <w:t>体系</w:t>
      </w:r>
      <w:bookmarkEnd w:id="126"/>
    </w:p>
    <w:p w14:paraId="2D8CAD3A">
      <w:pPr>
        <w:pStyle w:val="12"/>
        <w:keepNext w:val="0"/>
        <w:keepLines w:val="0"/>
        <w:pageBreakBefore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根据</w:t>
      </w:r>
      <w:r>
        <w:rPr>
          <w:rFonts w:hint="default" w:ascii="Times New Roman" w:hAnsi="Times New Roman" w:cs="Times New Roman"/>
          <w:color w:val="auto"/>
          <w:sz w:val="28"/>
          <w:szCs w:val="28"/>
          <w:lang w:val="en-US" w:eastAsia="zh-CN"/>
        </w:rPr>
        <w:t>不同</w:t>
      </w:r>
      <w:r>
        <w:rPr>
          <w:rFonts w:hint="default" w:ascii="Times New Roman" w:hAnsi="Times New Roman" w:eastAsia="宋体" w:cs="Times New Roman"/>
          <w:color w:val="auto"/>
          <w:sz w:val="28"/>
          <w:szCs w:val="28"/>
          <w:lang w:val="en-US" w:eastAsia="zh-CN"/>
        </w:rPr>
        <w:t>预防区域</w:t>
      </w:r>
      <w:r>
        <w:rPr>
          <w:rFonts w:hint="default" w:ascii="Times New Roman" w:hAnsi="Times New Roman" w:cs="Times New Roman"/>
          <w:color w:val="auto"/>
          <w:sz w:val="28"/>
          <w:szCs w:val="28"/>
          <w:lang w:val="en-US" w:eastAsia="zh-CN"/>
        </w:rPr>
        <w:t>的</w:t>
      </w:r>
      <w:r>
        <w:rPr>
          <w:rFonts w:hint="default" w:ascii="Times New Roman" w:hAnsi="Times New Roman" w:eastAsia="宋体" w:cs="Times New Roman"/>
          <w:color w:val="auto"/>
          <w:sz w:val="28"/>
          <w:szCs w:val="28"/>
          <w:lang w:val="en-US" w:eastAsia="zh-CN"/>
        </w:rPr>
        <w:t>特点，</w:t>
      </w:r>
      <w:r>
        <w:rPr>
          <w:rFonts w:hint="default" w:ascii="Times New Roman" w:hAnsi="Times New Roman" w:cs="Times New Roman"/>
          <w:color w:val="auto"/>
          <w:sz w:val="28"/>
          <w:szCs w:val="28"/>
          <w:lang w:val="en-US" w:eastAsia="zh-CN"/>
        </w:rPr>
        <w:t>有所侧重的采取</w:t>
      </w:r>
      <w:r>
        <w:rPr>
          <w:rFonts w:hint="default" w:ascii="Times New Roman" w:hAnsi="Times New Roman" w:eastAsia="宋体" w:cs="Times New Roman"/>
          <w:color w:val="auto"/>
          <w:sz w:val="28"/>
          <w:szCs w:val="28"/>
          <w:lang w:val="en-US" w:eastAsia="zh-CN"/>
        </w:rPr>
        <w:t>预防保护措施：</w:t>
      </w:r>
    </w:p>
    <w:p w14:paraId="74469108">
      <w:pPr>
        <w:pStyle w:val="12"/>
        <w:keepNext w:val="0"/>
        <w:keepLines w:val="0"/>
        <w:pageBreakBefore w:val="0"/>
        <w:numPr>
          <w:ilvl w:val="0"/>
          <w:numId w:val="1"/>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color w:val="auto"/>
          <w:sz w:val="28"/>
          <w:szCs w:val="28"/>
          <w:lang w:eastAsia="zh-CN"/>
        </w:rPr>
      </w:pPr>
      <w:r>
        <w:rPr>
          <w:rFonts w:hint="default" w:ascii="Times New Roman" w:hAnsi="Times New Roman" w:eastAsia="宋体" w:cs="Times New Roman"/>
          <w:color w:val="auto"/>
          <w:sz w:val="28"/>
          <w:szCs w:val="28"/>
          <w:lang w:val="en-US" w:eastAsia="zh-CN"/>
        </w:rPr>
        <w:t>江河源头和水源涵养区注重</w:t>
      </w:r>
      <w:r>
        <w:rPr>
          <w:rFonts w:hint="default" w:ascii="Times New Roman" w:hAnsi="Times New Roman" w:cs="Times New Roman"/>
          <w:color w:val="auto"/>
          <w:sz w:val="28"/>
          <w:szCs w:val="28"/>
          <w:lang w:val="en-US" w:eastAsia="zh-CN"/>
        </w:rPr>
        <w:t>林草植被</w:t>
      </w:r>
      <w:r>
        <w:rPr>
          <w:rFonts w:hint="default" w:ascii="Times New Roman" w:hAnsi="Times New Roman" w:eastAsia="宋体" w:cs="Times New Roman"/>
          <w:color w:val="auto"/>
          <w:sz w:val="28"/>
          <w:szCs w:val="28"/>
          <w:lang w:val="en-US" w:eastAsia="zh-CN"/>
        </w:rPr>
        <w:t>保护和水源涵养建设</w:t>
      </w:r>
      <w:r>
        <w:rPr>
          <w:rFonts w:hint="default" w:ascii="Times New Roman" w:hAnsi="Times New Roman" w:cs="Times New Roman"/>
          <w:color w:val="auto"/>
          <w:sz w:val="28"/>
          <w:szCs w:val="28"/>
          <w:lang w:val="en-US" w:eastAsia="zh-CN"/>
        </w:rPr>
        <w:t>，如低产林改造、退化林修复、</w:t>
      </w:r>
      <w:r>
        <w:rPr>
          <w:rFonts w:hint="default" w:ascii="Times New Roman" w:hAnsi="Times New Roman" w:eastAsia="宋体" w:cs="Times New Roman"/>
          <w:color w:val="auto"/>
          <w:sz w:val="28"/>
          <w:szCs w:val="28"/>
          <w:lang w:val="en-US" w:eastAsia="zh-CN"/>
        </w:rPr>
        <w:t>森林抚育、人工种草</w:t>
      </w:r>
      <w:r>
        <w:rPr>
          <w:rFonts w:hint="default" w:ascii="Times New Roman" w:hAnsi="Times New Roman" w:cs="Times New Roman"/>
          <w:color w:val="auto"/>
          <w:sz w:val="28"/>
          <w:szCs w:val="28"/>
          <w:lang w:val="en-US" w:eastAsia="zh-CN"/>
        </w:rPr>
        <w:t>等，</w:t>
      </w:r>
      <w:r>
        <w:rPr>
          <w:rFonts w:hint="default" w:ascii="Times New Roman" w:hAnsi="Times New Roman" w:eastAsia="宋体" w:cs="Times New Roman"/>
          <w:color w:val="auto"/>
          <w:sz w:val="28"/>
          <w:szCs w:val="28"/>
          <w:lang w:eastAsia="zh-CN"/>
        </w:rPr>
        <w:t>辅以综合治理，以治理促保护，控制水土流失，提高水源涵养能力</w:t>
      </w:r>
      <w:r>
        <w:rPr>
          <w:rFonts w:hint="default" w:ascii="Times New Roman" w:hAnsi="Times New Roman" w:cs="Times New Roman"/>
          <w:color w:val="auto"/>
          <w:sz w:val="28"/>
          <w:szCs w:val="28"/>
          <w:lang w:eastAsia="zh-CN"/>
        </w:rPr>
        <w:t>。</w:t>
      </w:r>
    </w:p>
    <w:p w14:paraId="01D64B76">
      <w:pPr>
        <w:pStyle w:val="12"/>
        <w:keepNext w:val="0"/>
        <w:keepLines w:val="0"/>
        <w:pageBreakBefore w:val="0"/>
        <w:numPr>
          <w:ilvl w:val="0"/>
          <w:numId w:val="1"/>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大中心水库及</w:t>
      </w:r>
      <w:r>
        <w:rPr>
          <w:rFonts w:hint="default" w:ascii="Times New Roman" w:hAnsi="Times New Roman" w:eastAsia="宋体" w:cs="Times New Roman"/>
          <w:color w:val="auto"/>
          <w:sz w:val="28"/>
          <w:szCs w:val="28"/>
          <w:lang w:val="en-US" w:eastAsia="zh-CN"/>
        </w:rPr>
        <w:t>饮用水水源保护区</w:t>
      </w:r>
      <w:r>
        <w:rPr>
          <w:rFonts w:hint="default" w:ascii="Times New Roman" w:hAnsi="Times New Roman" w:cs="Times New Roman"/>
          <w:color w:val="auto"/>
          <w:sz w:val="28"/>
          <w:szCs w:val="28"/>
          <w:lang w:val="en-US" w:eastAsia="zh-CN"/>
        </w:rPr>
        <w:t>采取</w:t>
      </w:r>
      <w:r>
        <w:rPr>
          <w:rFonts w:hint="default" w:ascii="Times New Roman" w:hAnsi="Times New Roman" w:eastAsia="宋体" w:cs="Times New Roman"/>
          <w:color w:val="auto"/>
          <w:sz w:val="28"/>
          <w:szCs w:val="28"/>
          <w:lang w:eastAsia="zh-CN"/>
        </w:rPr>
        <w:t>保护和建设以水源涵养林为主的植被，加强远山封育</w:t>
      </w:r>
      <w:r>
        <w:rPr>
          <w:rFonts w:hint="default" w:ascii="Times New Roman" w:hAnsi="Times New Roman" w:eastAsia="宋体" w:cs="Times New Roman"/>
          <w:color w:val="auto"/>
          <w:sz w:val="28"/>
          <w:szCs w:val="28"/>
          <w:lang w:val="en-US" w:eastAsia="zh-CN"/>
        </w:rPr>
        <w:t>育草</w:t>
      </w:r>
      <w:r>
        <w:rPr>
          <w:rFonts w:hint="default" w:ascii="Times New Roman" w:hAnsi="Times New Roman" w:eastAsia="宋体" w:cs="Times New Roman"/>
          <w:color w:val="auto"/>
          <w:sz w:val="28"/>
          <w:szCs w:val="28"/>
          <w:lang w:eastAsia="zh-CN"/>
        </w:rPr>
        <w:t>保护，中低山丘陵实施以林草植被建设为主的小流域综合治理，近库（湖、河）及村镇周边建设清洁小流域，滨库（湖、河）建设植物保护带和湿地，减少入河（湖、库）的泥沙及面源污染物，维护水质安全。</w:t>
      </w:r>
    </w:p>
    <w:p w14:paraId="0C469A9E">
      <w:pPr>
        <w:pStyle w:val="12"/>
        <w:keepNext w:val="0"/>
        <w:keepLines w:val="0"/>
        <w:pageBreakBefore w:val="0"/>
        <w:numPr>
          <w:ilvl w:val="0"/>
          <w:numId w:val="1"/>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重要生态功能区注重</w:t>
      </w:r>
      <w:r>
        <w:rPr>
          <w:rFonts w:hint="default" w:ascii="Times New Roman" w:hAnsi="Times New Roman" w:cs="Times New Roman"/>
          <w:color w:val="auto"/>
          <w:sz w:val="28"/>
          <w:szCs w:val="28"/>
          <w:lang w:val="en-US" w:eastAsia="zh-CN"/>
        </w:rPr>
        <w:t>林草植被措施</w:t>
      </w:r>
      <w:r>
        <w:rPr>
          <w:rFonts w:hint="default" w:ascii="Times New Roman" w:hAnsi="Times New Roman" w:eastAsia="宋体" w:cs="Times New Roman"/>
          <w:color w:val="auto"/>
          <w:sz w:val="28"/>
          <w:szCs w:val="28"/>
          <w:lang w:val="en-US" w:eastAsia="zh-CN"/>
        </w:rPr>
        <w:t>，加强保护管理与植被建设，减少水土资源荷载，提高生态环境承载能力</w:t>
      </w:r>
      <w:r>
        <w:rPr>
          <w:rFonts w:hint="default" w:ascii="Times New Roman" w:hAnsi="Times New Roman" w:cs="Times New Roman"/>
          <w:color w:val="auto"/>
          <w:sz w:val="28"/>
          <w:szCs w:val="28"/>
          <w:lang w:val="en-US" w:eastAsia="zh-CN"/>
        </w:rPr>
        <w:t>。如禁止采伐，基础设施建设、禁止开荒和资源开发等。</w:t>
      </w:r>
    </w:p>
    <w:p w14:paraId="44169F25">
      <w:pPr>
        <w:pStyle w:val="12"/>
        <w:keepNext w:val="0"/>
        <w:keepLines w:val="0"/>
        <w:pageBreakBefore w:val="0"/>
        <w:numPr>
          <w:ilvl w:val="0"/>
          <w:numId w:val="1"/>
        </w:numPr>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局部水土流失</w:t>
      </w:r>
      <w:r>
        <w:rPr>
          <w:rFonts w:hint="default" w:ascii="Times New Roman" w:hAnsi="Times New Roman" w:cs="Times New Roman"/>
          <w:color w:val="auto"/>
          <w:sz w:val="28"/>
          <w:szCs w:val="28"/>
          <w:lang w:val="en-US" w:eastAsia="zh-CN"/>
        </w:rPr>
        <w:t>严重区域采取</w:t>
      </w:r>
      <w:r>
        <w:rPr>
          <w:rFonts w:hint="default" w:ascii="Times New Roman" w:hAnsi="Times New Roman" w:eastAsia="宋体" w:cs="Times New Roman"/>
          <w:color w:val="auto"/>
          <w:sz w:val="28"/>
          <w:szCs w:val="28"/>
          <w:lang w:val="en-US" w:eastAsia="zh-CN"/>
        </w:rPr>
        <w:t>林草植被建设、坡改梯、侵蚀沟治理、农村垃圾和污水处置设施建设、人工湿地及其他面源污染控制措施</w:t>
      </w:r>
      <w:r>
        <w:rPr>
          <w:rFonts w:hint="default" w:ascii="Times New Roman" w:hAnsi="Times New Roman" w:cs="Times New Roman"/>
          <w:color w:val="auto"/>
          <w:sz w:val="28"/>
          <w:szCs w:val="28"/>
          <w:lang w:val="en-US" w:eastAsia="zh-CN"/>
        </w:rPr>
        <w:t>，利用</w:t>
      </w:r>
      <w:r>
        <w:rPr>
          <w:rFonts w:hint="default" w:ascii="Times New Roman" w:hAnsi="Times New Roman" w:eastAsia="宋体" w:cs="Times New Roman"/>
          <w:color w:val="auto"/>
          <w:sz w:val="28"/>
          <w:szCs w:val="28"/>
          <w:lang w:val="en-US" w:eastAsia="zh-CN"/>
        </w:rPr>
        <w:t>综合治理，促进生态修复。</w:t>
      </w:r>
    </w:p>
    <w:p w14:paraId="7E6550C3">
      <w:pPr>
        <w:pStyle w:val="7"/>
        <w:bidi w:val="0"/>
        <w:rPr>
          <w:rFonts w:hint="default" w:ascii="黑体" w:hAnsi="黑体" w:eastAsia="黑体" w:cs="黑体"/>
          <w:color w:val="auto"/>
          <w:sz w:val="32"/>
          <w:szCs w:val="32"/>
          <w:lang w:val="en-US" w:eastAsia="zh-CN"/>
        </w:rPr>
      </w:pPr>
      <w:bookmarkStart w:id="127" w:name="_Toc11068"/>
      <w:bookmarkStart w:id="128" w:name="_Toc8321"/>
      <w:r>
        <w:rPr>
          <w:rFonts w:hint="eastAsia" w:ascii="黑体" w:hAnsi="黑体" w:eastAsia="黑体" w:cs="黑体"/>
          <w:color w:val="auto"/>
          <w:sz w:val="32"/>
          <w:szCs w:val="32"/>
          <w:lang w:val="en-US" w:eastAsia="zh-CN"/>
        </w:rPr>
        <w:t>四、预防任务</w:t>
      </w:r>
      <w:bookmarkEnd w:id="127"/>
      <w:bookmarkEnd w:id="128"/>
    </w:p>
    <w:p w14:paraId="43D92AA1">
      <w:pPr>
        <w:bidi w:val="0"/>
        <w:ind w:firstLine="560" w:firstLineChars="200"/>
        <w:rPr>
          <w:rFonts w:hint="eastAsia" w:ascii="Times New Roman" w:hAnsi="Times New Roman" w:eastAsia="宋体" w:cs="Times New Roman"/>
          <w:color w:val="auto"/>
          <w:kern w:val="2"/>
          <w:sz w:val="28"/>
          <w:szCs w:val="28"/>
          <w:lang w:val="en-US" w:eastAsia="zh-CN" w:bidi="ar-SA"/>
        </w:rPr>
      </w:pPr>
      <w:r>
        <w:rPr>
          <w:rFonts w:hint="eastAsia" w:ascii="Times New Roman" w:hAnsi="Times New Roman" w:eastAsia="宋体" w:cs="Times New Roman"/>
          <w:color w:val="auto"/>
          <w:kern w:val="2"/>
          <w:sz w:val="28"/>
          <w:szCs w:val="28"/>
          <w:lang w:val="en-US" w:eastAsia="zh-CN" w:bidi="ar-SA"/>
        </w:rPr>
        <w:t>“十四五”期间，</w:t>
      </w:r>
      <w:r>
        <w:rPr>
          <w:rFonts w:hint="default" w:ascii="Times New Roman" w:hAnsi="Times New Roman" w:eastAsia="宋体" w:cs="Times New Roman"/>
          <w:color w:val="auto"/>
          <w:kern w:val="2"/>
          <w:sz w:val="28"/>
          <w:szCs w:val="28"/>
          <w:lang w:val="en-US" w:eastAsia="zh-CN" w:bidi="ar-SA"/>
        </w:rPr>
        <w:t>全省</w:t>
      </w:r>
      <w:r>
        <w:rPr>
          <w:rFonts w:hint="eastAsia" w:ascii="Times New Roman" w:hAnsi="Times New Roman" w:eastAsia="宋体" w:cs="Times New Roman"/>
          <w:color w:val="auto"/>
          <w:kern w:val="2"/>
          <w:sz w:val="28"/>
          <w:szCs w:val="28"/>
          <w:lang w:val="en-US" w:eastAsia="zh-CN" w:bidi="ar-SA"/>
        </w:rPr>
        <w:t>计划新增</w:t>
      </w:r>
      <w:r>
        <w:rPr>
          <w:rFonts w:hint="default" w:ascii="Times New Roman" w:hAnsi="Times New Roman" w:eastAsia="宋体" w:cs="Times New Roman"/>
          <w:color w:val="auto"/>
          <w:kern w:val="2"/>
          <w:sz w:val="28"/>
          <w:szCs w:val="28"/>
          <w:lang w:val="en-US" w:eastAsia="zh-CN" w:bidi="ar-SA"/>
        </w:rPr>
        <w:t>水土流失预防</w:t>
      </w:r>
      <w:r>
        <w:rPr>
          <w:rFonts w:hint="eastAsia" w:ascii="Times New Roman" w:hAnsi="Times New Roman" w:eastAsia="宋体" w:cs="Times New Roman"/>
          <w:color w:val="auto"/>
          <w:kern w:val="2"/>
          <w:sz w:val="28"/>
          <w:szCs w:val="28"/>
          <w:lang w:val="en-US" w:eastAsia="zh-CN" w:bidi="ar-SA"/>
        </w:rPr>
        <w:t>保护</w:t>
      </w:r>
      <w:r>
        <w:rPr>
          <w:rFonts w:hint="default" w:ascii="Times New Roman" w:hAnsi="Times New Roman" w:eastAsia="宋体" w:cs="Times New Roman"/>
          <w:color w:val="auto"/>
          <w:kern w:val="2"/>
          <w:sz w:val="28"/>
          <w:szCs w:val="28"/>
          <w:lang w:val="en-US" w:eastAsia="zh-CN" w:bidi="ar-SA"/>
        </w:rPr>
        <w:t>面积7800</w:t>
      </w:r>
      <w:r>
        <w:rPr>
          <w:rFonts w:hint="eastAsia" w:ascii="Times New Roman" w:hAnsi="Times New Roman" w:eastAsia="宋体" w:cs="Times New Roman"/>
          <w:color w:val="auto"/>
          <w:kern w:val="2"/>
          <w:sz w:val="28"/>
          <w:szCs w:val="28"/>
          <w:lang w:val="en-US" w:eastAsia="zh-CN" w:bidi="ar-SA"/>
        </w:rPr>
        <w:t>平方公里。在预防范围内设立重点预防项目，依托水利部门的水土流失预防保护，林业部门的低质低效林改造、森林抚育、退化林修复、石漠化治理，自然资源部门的山水林田湖草沙一体化保护和修复、矿山修复、土地综合整治，农业农村部门的高标准农田建设等工程共同完成</w:t>
      </w:r>
      <w:bookmarkStart w:id="129" w:name="_Toc22055"/>
      <w:r>
        <w:rPr>
          <w:rFonts w:hint="eastAsia" w:ascii="Times New Roman" w:hAnsi="Times New Roman" w:eastAsia="宋体" w:cs="Times New Roman"/>
          <w:color w:val="auto"/>
          <w:kern w:val="2"/>
          <w:sz w:val="28"/>
          <w:szCs w:val="28"/>
          <w:lang w:val="en-US" w:eastAsia="zh-CN" w:bidi="ar-SA"/>
        </w:rPr>
        <w:t>。</w:t>
      </w:r>
    </w:p>
    <w:p w14:paraId="21152453">
      <w:pPr>
        <w:pStyle w:val="7"/>
        <w:bidi w:val="0"/>
        <w:rPr>
          <w:rFonts w:hint="default" w:ascii="黑体" w:hAnsi="黑体" w:eastAsia="黑体" w:cs="黑体"/>
          <w:color w:val="auto"/>
          <w:sz w:val="32"/>
          <w:szCs w:val="32"/>
          <w:lang w:val="en-US" w:eastAsia="zh-CN"/>
        </w:rPr>
      </w:pPr>
      <w:bookmarkStart w:id="130" w:name="_Toc19748"/>
      <w:bookmarkStart w:id="131" w:name="_Toc32083"/>
      <w:r>
        <w:rPr>
          <w:rFonts w:hint="eastAsia" w:ascii="黑体" w:hAnsi="黑体" w:eastAsia="黑体" w:cs="黑体"/>
          <w:color w:val="auto"/>
          <w:sz w:val="32"/>
          <w:szCs w:val="32"/>
          <w:lang w:val="en-US" w:eastAsia="zh-CN"/>
        </w:rPr>
        <w:t>五、重点预防</w:t>
      </w:r>
      <w:bookmarkEnd w:id="129"/>
      <w:r>
        <w:rPr>
          <w:rFonts w:hint="eastAsia" w:ascii="黑体" w:hAnsi="黑体" w:eastAsia="黑体" w:cs="黑体"/>
          <w:color w:val="auto"/>
          <w:sz w:val="32"/>
          <w:szCs w:val="32"/>
          <w:lang w:val="en-US" w:eastAsia="zh-CN"/>
        </w:rPr>
        <w:t>项目</w:t>
      </w:r>
      <w:bookmarkEnd w:id="130"/>
      <w:bookmarkEnd w:id="131"/>
    </w:p>
    <w:p w14:paraId="63766244">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32" w:name="_Toc17746"/>
      <w:bookmarkStart w:id="133" w:name="_Toc31702"/>
      <w:r>
        <w:rPr>
          <w:rFonts w:hint="eastAsia" w:ascii="Times New Roman" w:hAnsi="Times New Roman" w:eastAsia="楷体_GB2312" w:cs="Times New Roman"/>
          <w:b/>
          <w:bCs w:val="0"/>
          <w:snapToGrid w:val="0"/>
          <w:color w:val="auto"/>
          <w:kern w:val="2"/>
          <w:sz w:val="30"/>
          <w:szCs w:val="30"/>
          <w:lang w:val="en-US" w:eastAsia="zh-CN" w:bidi="ar-SA"/>
        </w:rPr>
        <w:t>（一）重要江河两岸及源头区</w:t>
      </w:r>
      <w:bookmarkEnd w:id="132"/>
      <w:bookmarkEnd w:id="133"/>
      <w:r>
        <w:rPr>
          <w:rFonts w:hint="eastAsia" w:ascii="Times New Roman" w:hAnsi="Times New Roman" w:eastAsia="楷体_GB2312" w:cs="Times New Roman"/>
          <w:b/>
          <w:bCs w:val="0"/>
          <w:snapToGrid w:val="0"/>
          <w:color w:val="auto"/>
          <w:kern w:val="2"/>
          <w:sz w:val="30"/>
          <w:szCs w:val="30"/>
          <w:lang w:val="en-US" w:eastAsia="zh-CN" w:bidi="ar-SA"/>
        </w:rPr>
        <w:t>水土流失预防</w:t>
      </w:r>
    </w:p>
    <w:p w14:paraId="289305C3">
      <w:pPr>
        <w:pStyle w:val="12"/>
        <w:keepNext w:val="0"/>
        <w:keepLines w:val="0"/>
        <w:pageBreakBefore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eastAsia="zh-CN"/>
        </w:rPr>
        <w:t>依据区域水土保持功能重要性，确定</w:t>
      </w:r>
      <w:r>
        <w:rPr>
          <w:rFonts w:hint="default" w:ascii="Times New Roman" w:hAnsi="Times New Roman" w:eastAsia="宋体" w:cs="Times New Roman"/>
          <w:color w:val="auto"/>
          <w:sz w:val="28"/>
          <w:szCs w:val="28"/>
          <w:lang w:val="en-US" w:eastAsia="zh-CN"/>
        </w:rPr>
        <w:t>34条省管重点河流</w:t>
      </w:r>
      <w:r>
        <w:rPr>
          <w:rFonts w:hint="default" w:ascii="Times New Roman" w:hAnsi="Times New Roman" w:cs="Times New Roman"/>
          <w:color w:val="auto"/>
          <w:sz w:val="28"/>
          <w:szCs w:val="28"/>
          <w:lang w:val="en-US" w:eastAsia="zh-CN"/>
        </w:rPr>
        <w:t>（包括设省河长）的</w:t>
      </w:r>
      <w:r>
        <w:rPr>
          <w:rFonts w:hint="default" w:ascii="Times New Roman" w:hAnsi="Times New Roman" w:eastAsia="宋体" w:cs="Times New Roman"/>
          <w:color w:val="auto"/>
          <w:sz w:val="28"/>
          <w:szCs w:val="28"/>
          <w:lang w:val="en-US" w:eastAsia="zh-CN"/>
        </w:rPr>
        <w:t>两</w:t>
      </w:r>
      <w:r>
        <w:rPr>
          <w:rFonts w:hint="default" w:ascii="Times New Roman" w:hAnsi="Times New Roman" w:cs="Times New Roman"/>
          <w:color w:val="auto"/>
          <w:sz w:val="28"/>
          <w:szCs w:val="28"/>
          <w:lang w:val="en-US" w:eastAsia="zh-CN"/>
        </w:rPr>
        <w:t>岸及源头区域为</w:t>
      </w:r>
      <w:r>
        <w:rPr>
          <w:rFonts w:hint="default" w:ascii="Times New Roman" w:hAnsi="Times New Roman" w:eastAsia="宋体" w:cs="Times New Roman"/>
          <w:color w:val="auto"/>
          <w:sz w:val="28"/>
          <w:szCs w:val="28"/>
          <w:lang w:eastAsia="zh-CN"/>
        </w:rPr>
        <w:t>“十</w:t>
      </w:r>
      <w:r>
        <w:rPr>
          <w:rFonts w:hint="default" w:ascii="Times New Roman" w:hAnsi="Times New Roman" w:eastAsia="宋体" w:cs="Times New Roman"/>
          <w:color w:val="auto"/>
          <w:sz w:val="28"/>
          <w:szCs w:val="28"/>
          <w:lang w:val="en-US" w:eastAsia="zh-CN"/>
        </w:rPr>
        <w:t>四</w:t>
      </w:r>
      <w:r>
        <w:rPr>
          <w:rFonts w:hint="default" w:ascii="Times New Roman" w:hAnsi="Times New Roman" w:eastAsia="宋体" w:cs="Times New Roman"/>
          <w:color w:val="auto"/>
          <w:sz w:val="28"/>
          <w:szCs w:val="28"/>
          <w:lang w:eastAsia="zh-CN"/>
        </w:rPr>
        <w:t>五”期间重点</w:t>
      </w:r>
      <w:r>
        <w:rPr>
          <w:rFonts w:hint="default" w:ascii="Times New Roman" w:hAnsi="Times New Roman" w:eastAsia="宋体" w:cs="Times New Roman"/>
          <w:color w:val="auto"/>
          <w:sz w:val="28"/>
          <w:szCs w:val="28"/>
          <w:lang w:val="en-US" w:eastAsia="zh-CN"/>
        </w:rPr>
        <w:t>预防</w:t>
      </w:r>
      <w:r>
        <w:rPr>
          <w:rFonts w:hint="default" w:ascii="Times New Roman" w:hAnsi="Times New Roman" w:eastAsia="宋体" w:cs="Times New Roman"/>
          <w:color w:val="auto"/>
          <w:sz w:val="28"/>
          <w:szCs w:val="28"/>
          <w:lang w:eastAsia="zh-CN"/>
        </w:rPr>
        <w:t>范围，</w:t>
      </w:r>
      <w:r>
        <w:rPr>
          <w:rFonts w:hint="default" w:ascii="Times New Roman" w:hAnsi="Times New Roman" w:cs="Times New Roman"/>
          <w:color w:val="auto"/>
          <w:sz w:val="28"/>
          <w:szCs w:val="28"/>
          <w:lang w:val="en-US" w:eastAsia="zh-CN"/>
        </w:rPr>
        <w:t>计划水土流失预防面积2150km</w:t>
      </w:r>
      <w:r>
        <w:rPr>
          <w:rFonts w:hint="default" w:ascii="Times New Roman" w:hAnsi="Times New Roman" w:cs="Times New Roman"/>
          <w:color w:val="auto"/>
          <w:sz w:val="28"/>
          <w:szCs w:val="28"/>
          <w:vertAlign w:val="superscript"/>
          <w:lang w:val="en-US" w:eastAsia="zh-CN"/>
        </w:rPr>
        <w:t>2</w:t>
      </w:r>
      <w:r>
        <w:rPr>
          <w:rFonts w:hint="default" w:ascii="Times New Roman" w:hAnsi="Times New Roman" w:eastAsia="宋体" w:cs="Times New Roman"/>
          <w:color w:val="auto"/>
          <w:sz w:val="28"/>
          <w:szCs w:val="28"/>
          <w:lang w:eastAsia="zh-CN"/>
        </w:rPr>
        <w:t>，</w:t>
      </w:r>
      <w:r>
        <w:rPr>
          <w:rFonts w:hint="default" w:ascii="Times New Roman" w:hAnsi="Times New Roman" w:cs="Times New Roman"/>
          <w:color w:val="auto"/>
          <w:sz w:val="28"/>
          <w:szCs w:val="28"/>
          <w:lang w:val="en-US" w:eastAsia="zh-CN"/>
        </w:rPr>
        <w:t>详见表4-1。</w:t>
      </w:r>
    </w:p>
    <w:p w14:paraId="23CC891C">
      <w:pPr>
        <w:spacing w:after="0"/>
        <w:jc w:val="both"/>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表</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val="en-US" w:eastAsia="zh-CN"/>
        </w:rPr>
        <w:t>-</w:t>
      </w:r>
      <w:r>
        <w:rPr>
          <w:rFonts w:hint="eastAsia" w:ascii="Times New Roman" w:hAnsi="Times New Roman" w:eastAsia="宋体" w:cs="Times New Roman"/>
          <w:b/>
          <w:bCs/>
          <w:color w:val="auto"/>
          <w:sz w:val="28"/>
          <w:szCs w:val="28"/>
          <w:lang w:val="en-US" w:eastAsia="zh-CN"/>
        </w:rPr>
        <w:t>1</w:t>
      </w:r>
      <w:r>
        <w:rPr>
          <w:rFonts w:hint="default" w:ascii="Times New Roman" w:hAnsi="Times New Roman"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val="en-US" w:eastAsia="zh-CN"/>
        </w:rPr>
        <w:t>重要</w:t>
      </w:r>
      <w:r>
        <w:rPr>
          <w:rFonts w:hint="eastAsia" w:ascii="Times New Roman" w:hAnsi="Times New Roman" w:eastAsia="宋体" w:cs="Times New Roman"/>
          <w:b/>
          <w:bCs/>
          <w:color w:val="auto"/>
          <w:sz w:val="28"/>
          <w:szCs w:val="28"/>
          <w:lang w:val="en-US" w:eastAsia="zh-CN"/>
        </w:rPr>
        <w:t>江河</w:t>
      </w:r>
      <w:r>
        <w:rPr>
          <w:rFonts w:hint="default" w:ascii="Times New Roman" w:hAnsi="Times New Roman" w:eastAsia="宋体" w:cs="Times New Roman"/>
          <w:b/>
          <w:bCs/>
          <w:color w:val="auto"/>
          <w:sz w:val="28"/>
          <w:szCs w:val="28"/>
          <w:lang w:val="en-US" w:eastAsia="zh-CN"/>
        </w:rPr>
        <w:t>两岸及源头</w:t>
      </w:r>
      <w:r>
        <w:rPr>
          <w:rFonts w:hint="eastAsia" w:ascii="Times New Roman" w:hAnsi="Times New Roman" w:eastAsia="宋体" w:cs="Times New Roman"/>
          <w:b/>
          <w:bCs/>
          <w:color w:val="auto"/>
          <w:sz w:val="28"/>
          <w:szCs w:val="28"/>
          <w:lang w:val="en-US" w:eastAsia="zh-CN"/>
        </w:rPr>
        <w:t>区预防保护项目规划表</w:t>
      </w:r>
    </w:p>
    <w:tbl>
      <w:tblPr>
        <w:tblStyle w:val="19"/>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208"/>
        <w:gridCol w:w="1301"/>
        <w:gridCol w:w="4782"/>
        <w:gridCol w:w="1231"/>
      </w:tblGrid>
      <w:tr w14:paraId="34C9C4F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tcBorders>
              <w:tl2br w:val="nil"/>
              <w:tr2bl w:val="nil"/>
            </w:tcBorders>
            <w:vAlign w:val="center"/>
          </w:tcPr>
          <w:p w14:paraId="5FAD7315">
            <w:pPr>
              <w:adjustRightInd w:val="0"/>
              <w:snapToGrid w:val="0"/>
              <w:spacing w:after="0" w:line="240" w:lineRule="atLeast"/>
              <w:jc w:val="center"/>
              <w:rPr>
                <w:rFonts w:hint="default" w:ascii="Times New Roman" w:hAnsi="Times New Roman" w:eastAsia="宋体" w:cs="Times New Roman"/>
                <w:b/>
                <w:color w:val="auto"/>
                <w:kern w:val="2"/>
                <w:sz w:val="21"/>
              </w:rPr>
            </w:pPr>
            <w:r>
              <w:rPr>
                <w:rFonts w:hint="default" w:ascii="Times New Roman" w:hAnsi="Times New Roman" w:eastAsia="宋体" w:cs="Times New Roman"/>
                <w:b/>
                <w:color w:val="auto"/>
                <w:kern w:val="2"/>
                <w:sz w:val="21"/>
              </w:rPr>
              <w:t>项目名称</w:t>
            </w:r>
          </w:p>
        </w:tc>
        <w:tc>
          <w:tcPr>
            <w:tcW w:w="763" w:type="pct"/>
            <w:tcBorders>
              <w:tl2br w:val="nil"/>
              <w:tr2bl w:val="nil"/>
            </w:tcBorders>
            <w:tcMar>
              <w:top w:w="15" w:type="dxa"/>
              <w:left w:w="108" w:type="dxa"/>
              <w:bottom w:w="15" w:type="dxa"/>
              <w:right w:w="108" w:type="dxa"/>
            </w:tcMar>
            <w:vAlign w:val="center"/>
          </w:tcPr>
          <w:p w14:paraId="05524C55">
            <w:pPr>
              <w:adjustRightInd w:val="0"/>
              <w:snapToGrid w:val="0"/>
              <w:spacing w:after="0" w:line="240" w:lineRule="atLeast"/>
              <w:jc w:val="center"/>
              <w:rPr>
                <w:rFonts w:hint="default" w:ascii="Times New Roman" w:hAnsi="Times New Roman" w:eastAsia="宋体" w:cs="Times New Roman"/>
                <w:b/>
                <w:color w:val="auto"/>
                <w:kern w:val="2"/>
                <w:sz w:val="21"/>
                <w:lang w:val="en-US" w:eastAsia="zh-CN"/>
              </w:rPr>
            </w:pPr>
            <w:r>
              <w:rPr>
                <w:rFonts w:hint="eastAsia" w:ascii="Times New Roman" w:hAnsi="Times New Roman" w:eastAsia="宋体" w:cs="Times New Roman"/>
                <w:b/>
                <w:color w:val="auto"/>
                <w:kern w:val="2"/>
                <w:sz w:val="21"/>
                <w:lang w:val="en-US" w:eastAsia="zh-CN"/>
              </w:rPr>
              <w:t>预防保护对象</w:t>
            </w:r>
          </w:p>
        </w:tc>
        <w:tc>
          <w:tcPr>
            <w:tcW w:w="2805" w:type="pct"/>
            <w:tcBorders>
              <w:tl2br w:val="nil"/>
              <w:tr2bl w:val="nil"/>
            </w:tcBorders>
            <w:tcMar>
              <w:top w:w="15" w:type="dxa"/>
              <w:left w:w="108" w:type="dxa"/>
              <w:bottom w:w="15" w:type="dxa"/>
              <w:right w:w="108" w:type="dxa"/>
            </w:tcMar>
            <w:vAlign w:val="center"/>
          </w:tcPr>
          <w:p w14:paraId="3DBAA869">
            <w:pPr>
              <w:adjustRightInd w:val="0"/>
              <w:snapToGrid w:val="0"/>
              <w:spacing w:after="0" w:line="240" w:lineRule="atLeast"/>
              <w:jc w:val="center"/>
              <w:rPr>
                <w:rFonts w:hint="default" w:ascii="Times New Roman" w:hAnsi="Times New Roman" w:eastAsia="宋体" w:cs="Times New Roman"/>
                <w:b/>
                <w:color w:val="auto"/>
                <w:kern w:val="2"/>
                <w:sz w:val="21"/>
              </w:rPr>
            </w:pPr>
            <w:r>
              <w:rPr>
                <w:rFonts w:hint="default" w:ascii="Times New Roman" w:hAnsi="Times New Roman" w:eastAsia="宋体" w:cs="Times New Roman"/>
                <w:b/>
                <w:color w:val="auto"/>
                <w:kern w:val="2"/>
                <w:sz w:val="21"/>
              </w:rPr>
              <w:t>涉及范围</w:t>
            </w:r>
          </w:p>
        </w:tc>
        <w:tc>
          <w:tcPr>
            <w:tcW w:w="722" w:type="pct"/>
            <w:tcBorders>
              <w:tl2br w:val="nil"/>
              <w:tr2bl w:val="nil"/>
            </w:tcBorders>
            <w:tcMar>
              <w:top w:w="15" w:type="dxa"/>
              <w:left w:w="108" w:type="dxa"/>
              <w:bottom w:w="15" w:type="dxa"/>
              <w:right w:w="108" w:type="dxa"/>
            </w:tcMar>
            <w:vAlign w:val="center"/>
          </w:tcPr>
          <w:p w14:paraId="39974839">
            <w:pPr>
              <w:keepNext w:val="0"/>
              <w:keepLines w:val="0"/>
              <w:pageBreakBefore w:val="0"/>
              <w:widowControl w:val="0"/>
              <w:kinsoku/>
              <w:wordWrap/>
              <w:overflowPunct/>
              <w:topLinePunct w:val="0"/>
              <w:autoSpaceDE/>
              <w:autoSpaceDN/>
              <w:bidi w:val="0"/>
              <w:adjustRightInd/>
              <w:snapToGrid w:val="0"/>
              <w:spacing w:before="120" w:after="0" w:line="240" w:lineRule="auto"/>
              <w:jc w:val="center"/>
              <w:textAlignment w:val="auto"/>
              <w:rPr>
                <w:rFonts w:hint="default" w:ascii="Times New Roman" w:hAnsi="Times New Roman" w:eastAsia="宋体" w:cs="Times New Roman"/>
                <w:b/>
                <w:color w:val="auto"/>
                <w:kern w:val="2"/>
                <w:sz w:val="21"/>
              </w:rPr>
            </w:pPr>
            <w:r>
              <w:rPr>
                <w:rFonts w:hint="eastAsia" w:ascii="Times New Roman" w:hAnsi="Times New Roman" w:eastAsia="宋体" w:cs="Times New Roman"/>
                <w:b/>
                <w:color w:val="auto"/>
                <w:kern w:val="2"/>
                <w:sz w:val="21"/>
                <w:lang w:val="en-US" w:eastAsia="zh-CN"/>
              </w:rPr>
              <w:t>预防保护</w:t>
            </w:r>
            <w:r>
              <w:rPr>
                <w:rFonts w:hint="default" w:ascii="Times New Roman" w:hAnsi="Times New Roman" w:eastAsia="宋体" w:cs="Times New Roman"/>
                <w:b/>
                <w:color w:val="auto"/>
                <w:kern w:val="2"/>
                <w:sz w:val="21"/>
              </w:rPr>
              <w:t>面积</w:t>
            </w:r>
            <w:r>
              <w:rPr>
                <w:rFonts w:hint="eastAsia" w:ascii="Times New Roman" w:hAnsi="Times New Roman" w:eastAsia="宋体" w:cs="Times New Roman"/>
                <w:b/>
                <w:color w:val="auto"/>
                <w:kern w:val="2"/>
                <w:sz w:val="21"/>
                <w:lang w:eastAsia="zh-CN"/>
              </w:rPr>
              <w:t>（</w:t>
            </w:r>
            <w:r>
              <w:rPr>
                <w:rFonts w:hint="default" w:ascii="Times New Roman" w:hAnsi="Times New Roman" w:eastAsia="宋体" w:cs="Times New Roman"/>
                <w:b/>
                <w:color w:val="auto"/>
                <w:kern w:val="2"/>
                <w:sz w:val="21"/>
                <w:lang w:val="en-US" w:eastAsia="zh-CN"/>
              </w:rPr>
              <w:t>km</w:t>
            </w:r>
            <w:r>
              <w:rPr>
                <w:rFonts w:hint="default" w:ascii="Times New Roman" w:hAnsi="Times New Roman" w:eastAsia="宋体" w:cs="Times New Roman"/>
                <w:b/>
                <w:color w:val="auto"/>
                <w:kern w:val="2"/>
                <w:sz w:val="21"/>
                <w:vertAlign w:val="superscript"/>
                <w:lang w:val="en-US" w:eastAsia="zh-CN"/>
              </w:rPr>
              <w:t>2</w:t>
            </w:r>
            <w:r>
              <w:rPr>
                <w:rFonts w:hint="eastAsia" w:ascii="Times New Roman" w:hAnsi="Times New Roman" w:eastAsia="宋体" w:cs="Times New Roman"/>
                <w:b/>
                <w:color w:val="auto"/>
                <w:kern w:val="2"/>
                <w:sz w:val="21"/>
                <w:lang w:eastAsia="zh-CN"/>
              </w:rPr>
              <w:t>）</w:t>
            </w:r>
          </w:p>
        </w:tc>
      </w:tr>
      <w:tr w14:paraId="067159D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restart"/>
            <w:tcBorders>
              <w:tl2br w:val="nil"/>
              <w:tr2bl w:val="nil"/>
            </w:tcBorders>
            <w:vAlign w:val="center"/>
          </w:tcPr>
          <w:p w14:paraId="6512973D">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重要江河两岸及源头区预防保护</w:t>
            </w:r>
          </w:p>
        </w:tc>
        <w:tc>
          <w:tcPr>
            <w:tcW w:w="763" w:type="pct"/>
            <w:tcBorders>
              <w:tl2br w:val="nil"/>
              <w:tr2bl w:val="nil"/>
            </w:tcBorders>
            <w:tcMar>
              <w:top w:w="15" w:type="dxa"/>
              <w:left w:w="108" w:type="dxa"/>
              <w:bottom w:w="15" w:type="dxa"/>
              <w:right w:w="108" w:type="dxa"/>
            </w:tcMar>
            <w:vAlign w:val="center"/>
          </w:tcPr>
          <w:p w14:paraId="14CE557A">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乌江干流</w:t>
            </w:r>
          </w:p>
        </w:tc>
        <w:tc>
          <w:tcPr>
            <w:tcW w:w="2805" w:type="pct"/>
            <w:tcBorders>
              <w:tl2br w:val="nil"/>
              <w:tr2bl w:val="nil"/>
            </w:tcBorders>
            <w:tcMar>
              <w:top w:w="15" w:type="dxa"/>
              <w:left w:w="108" w:type="dxa"/>
              <w:bottom w:w="15" w:type="dxa"/>
              <w:right w:w="108" w:type="dxa"/>
            </w:tcMar>
            <w:vAlign w:val="center"/>
          </w:tcPr>
          <w:p w14:paraId="256C56A7">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黔西市、清镇市、修文县、金沙县、息烽县、播州区、开阳县、瓮安县、湄潭县、余庆县、石阡县、凤冈县、思南县、德江县、沿河县</w:t>
            </w:r>
          </w:p>
        </w:tc>
        <w:tc>
          <w:tcPr>
            <w:tcW w:w="722" w:type="pct"/>
            <w:vMerge w:val="restart"/>
            <w:tcBorders>
              <w:tl2br w:val="nil"/>
              <w:tr2bl w:val="nil"/>
            </w:tcBorders>
            <w:tcMar>
              <w:top w:w="15" w:type="dxa"/>
              <w:left w:w="108" w:type="dxa"/>
              <w:bottom w:w="15" w:type="dxa"/>
              <w:right w:w="108" w:type="dxa"/>
            </w:tcMar>
            <w:vAlign w:val="center"/>
          </w:tcPr>
          <w:p w14:paraId="0F803CB2">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default" w:ascii="Times New Roman" w:hAnsi="Times New Roman" w:eastAsia="宋体" w:cs="Times New Roman"/>
                <w:color w:val="auto"/>
                <w:kern w:val="2"/>
                <w:sz w:val="21"/>
                <w:lang w:val="en-US" w:eastAsia="zh-CN"/>
              </w:rPr>
              <w:t>2150</w:t>
            </w:r>
          </w:p>
        </w:tc>
      </w:tr>
      <w:tr w14:paraId="2591844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14:paraId="56DF8E9D">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3" w:type="pct"/>
            <w:tcBorders>
              <w:tl2br w:val="nil"/>
              <w:tr2bl w:val="nil"/>
            </w:tcBorders>
            <w:tcMar>
              <w:top w:w="15" w:type="dxa"/>
              <w:left w:w="108" w:type="dxa"/>
              <w:bottom w:w="15" w:type="dxa"/>
              <w:right w:w="108" w:type="dxa"/>
            </w:tcMar>
            <w:vAlign w:val="center"/>
          </w:tcPr>
          <w:p w14:paraId="20B2771E">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赤水河</w:t>
            </w:r>
          </w:p>
        </w:tc>
        <w:tc>
          <w:tcPr>
            <w:tcW w:w="2805" w:type="pct"/>
            <w:tcBorders>
              <w:tl2br w:val="nil"/>
              <w:tr2bl w:val="nil"/>
            </w:tcBorders>
            <w:tcMar>
              <w:top w:w="15" w:type="dxa"/>
              <w:left w:w="108" w:type="dxa"/>
              <w:bottom w:w="15" w:type="dxa"/>
              <w:right w:w="108" w:type="dxa"/>
            </w:tcMar>
            <w:vAlign w:val="center"/>
          </w:tcPr>
          <w:p w14:paraId="41AC2E09">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七星关区、金沙县、仁怀市、习水县、赤水市、播州区、汇川区</w:t>
            </w:r>
          </w:p>
        </w:tc>
        <w:tc>
          <w:tcPr>
            <w:tcW w:w="722" w:type="pct"/>
            <w:vMerge w:val="continue"/>
            <w:tcBorders>
              <w:tl2br w:val="nil"/>
              <w:tr2bl w:val="nil"/>
            </w:tcBorders>
            <w:tcMar>
              <w:top w:w="15" w:type="dxa"/>
              <w:left w:w="108" w:type="dxa"/>
              <w:bottom w:w="15" w:type="dxa"/>
              <w:right w:w="108" w:type="dxa"/>
            </w:tcMar>
            <w:vAlign w:val="center"/>
          </w:tcPr>
          <w:p w14:paraId="317EE24D">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01813D0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14:paraId="1C8FC5B6">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c>
          <w:tcPr>
            <w:tcW w:w="763" w:type="pct"/>
            <w:tcBorders>
              <w:tl2br w:val="nil"/>
              <w:tr2bl w:val="nil"/>
            </w:tcBorders>
            <w:tcMar>
              <w:top w:w="15" w:type="dxa"/>
              <w:left w:w="108" w:type="dxa"/>
              <w:bottom w:w="15" w:type="dxa"/>
              <w:right w:w="108" w:type="dxa"/>
            </w:tcMar>
            <w:vAlign w:val="center"/>
          </w:tcPr>
          <w:p w14:paraId="1E5374A9">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马别河</w:t>
            </w:r>
          </w:p>
        </w:tc>
        <w:tc>
          <w:tcPr>
            <w:tcW w:w="2805" w:type="pct"/>
            <w:tcBorders>
              <w:tl2br w:val="nil"/>
              <w:tr2bl w:val="nil"/>
            </w:tcBorders>
            <w:tcMar>
              <w:top w:w="15" w:type="dxa"/>
              <w:left w:w="108" w:type="dxa"/>
              <w:bottom w:w="15" w:type="dxa"/>
              <w:right w:w="108" w:type="dxa"/>
            </w:tcMar>
            <w:vAlign w:val="center"/>
          </w:tcPr>
          <w:p w14:paraId="68D36B98">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盘州市、普安县、兴仁县、兴义市、安龙县</w:t>
            </w:r>
          </w:p>
        </w:tc>
        <w:tc>
          <w:tcPr>
            <w:tcW w:w="722" w:type="pct"/>
            <w:vMerge w:val="continue"/>
            <w:tcBorders>
              <w:tl2br w:val="nil"/>
              <w:tr2bl w:val="nil"/>
            </w:tcBorders>
            <w:tcMar>
              <w:top w:w="15" w:type="dxa"/>
              <w:left w:w="108" w:type="dxa"/>
              <w:bottom w:w="15" w:type="dxa"/>
              <w:right w:w="108" w:type="dxa"/>
            </w:tcMar>
            <w:vAlign w:val="center"/>
          </w:tcPr>
          <w:p w14:paraId="3DC4B840">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52BFDE4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14:paraId="194F8C87">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3" w:type="pct"/>
            <w:tcBorders>
              <w:tl2br w:val="nil"/>
              <w:tr2bl w:val="nil"/>
            </w:tcBorders>
            <w:tcMar>
              <w:top w:w="15" w:type="dxa"/>
              <w:left w:w="108" w:type="dxa"/>
              <w:bottom w:w="15" w:type="dxa"/>
              <w:right w:w="108" w:type="dxa"/>
            </w:tcMar>
            <w:vAlign w:val="center"/>
          </w:tcPr>
          <w:p w14:paraId="526304BA">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黄泥河</w:t>
            </w:r>
          </w:p>
        </w:tc>
        <w:tc>
          <w:tcPr>
            <w:tcW w:w="2805" w:type="pct"/>
            <w:tcBorders>
              <w:tl2br w:val="nil"/>
              <w:tr2bl w:val="nil"/>
            </w:tcBorders>
            <w:tcMar>
              <w:top w:w="15" w:type="dxa"/>
              <w:left w:w="108" w:type="dxa"/>
              <w:bottom w:w="15" w:type="dxa"/>
              <w:right w:w="108" w:type="dxa"/>
            </w:tcMar>
            <w:vAlign w:val="center"/>
          </w:tcPr>
          <w:p w14:paraId="449ED6FD">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盘州市、兴义市</w:t>
            </w:r>
          </w:p>
        </w:tc>
        <w:tc>
          <w:tcPr>
            <w:tcW w:w="722" w:type="pct"/>
            <w:vMerge w:val="continue"/>
            <w:tcBorders>
              <w:tl2br w:val="nil"/>
              <w:tr2bl w:val="nil"/>
            </w:tcBorders>
            <w:tcMar>
              <w:top w:w="15" w:type="dxa"/>
              <w:left w:w="108" w:type="dxa"/>
              <w:bottom w:w="15" w:type="dxa"/>
              <w:right w:w="108" w:type="dxa"/>
            </w:tcMar>
            <w:vAlign w:val="center"/>
          </w:tcPr>
          <w:p w14:paraId="1153A8AA">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26D900C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14:paraId="53C2BB64">
            <w:pPr>
              <w:adjustRightInd w:val="0"/>
              <w:snapToGrid w:val="0"/>
              <w:spacing w:after="0" w:line="240" w:lineRule="atLeast"/>
              <w:jc w:val="center"/>
              <w:rPr>
                <w:rFonts w:hint="default" w:ascii="Times New Roman" w:hAnsi="Times New Roman" w:eastAsia="宋体" w:cs="Times New Roman"/>
                <w:color w:val="auto"/>
                <w:kern w:val="2"/>
                <w:sz w:val="21"/>
              </w:rPr>
            </w:pPr>
            <w:bookmarkStart w:id="134" w:name="_Toc20613"/>
          </w:p>
        </w:tc>
        <w:tc>
          <w:tcPr>
            <w:tcW w:w="763" w:type="pct"/>
            <w:tcBorders>
              <w:tl2br w:val="nil"/>
              <w:tr2bl w:val="nil"/>
            </w:tcBorders>
            <w:tcMar>
              <w:top w:w="15" w:type="dxa"/>
              <w:left w:w="108" w:type="dxa"/>
              <w:bottom w:w="15" w:type="dxa"/>
              <w:right w:w="108" w:type="dxa"/>
            </w:tcMar>
            <w:vAlign w:val="center"/>
          </w:tcPr>
          <w:p w14:paraId="5A9E83DB">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草  海</w:t>
            </w:r>
          </w:p>
        </w:tc>
        <w:tc>
          <w:tcPr>
            <w:tcW w:w="2805" w:type="pct"/>
            <w:tcBorders>
              <w:tl2br w:val="nil"/>
              <w:tr2bl w:val="nil"/>
            </w:tcBorders>
            <w:tcMar>
              <w:top w:w="15" w:type="dxa"/>
              <w:left w:w="108" w:type="dxa"/>
              <w:bottom w:w="15" w:type="dxa"/>
              <w:right w:w="108" w:type="dxa"/>
            </w:tcMar>
            <w:vAlign w:val="center"/>
          </w:tcPr>
          <w:p w14:paraId="420AF948">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威宁县</w:t>
            </w:r>
          </w:p>
        </w:tc>
        <w:tc>
          <w:tcPr>
            <w:tcW w:w="722" w:type="pct"/>
            <w:vMerge w:val="continue"/>
            <w:tcBorders>
              <w:tl2br w:val="nil"/>
              <w:tr2bl w:val="nil"/>
            </w:tcBorders>
            <w:tcMar>
              <w:top w:w="15" w:type="dxa"/>
              <w:left w:w="108" w:type="dxa"/>
              <w:bottom w:w="15" w:type="dxa"/>
              <w:right w:w="108" w:type="dxa"/>
            </w:tcMar>
            <w:vAlign w:val="center"/>
          </w:tcPr>
          <w:p w14:paraId="2534A3EF">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7F80466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14:paraId="25DA5161">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3" w:type="pct"/>
            <w:tcBorders>
              <w:tl2br w:val="nil"/>
              <w:tr2bl w:val="nil"/>
            </w:tcBorders>
            <w:tcMar>
              <w:top w:w="15" w:type="dxa"/>
              <w:left w:w="108" w:type="dxa"/>
              <w:bottom w:w="15" w:type="dxa"/>
              <w:right w:w="108" w:type="dxa"/>
            </w:tcMar>
            <w:vAlign w:val="center"/>
          </w:tcPr>
          <w:p w14:paraId="30DF67C7">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猫跳河</w:t>
            </w:r>
          </w:p>
        </w:tc>
        <w:tc>
          <w:tcPr>
            <w:tcW w:w="2805" w:type="pct"/>
            <w:tcBorders>
              <w:tl2br w:val="nil"/>
              <w:tr2bl w:val="nil"/>
            </w:tcBorders>
            <w:tcMar>
              <w:top w:w="15" w:type="dxa"/>
              <w:left w:w="108" w:type="dxa"/>
              <w:bottom w:w="15" w:type="dxa"/>
              <w:right w:w="108" w:type="dxa"/>
            </w:tcMar>
            <w:vAlign w:val="center"/>
          </w:tcPr>
          <w:p w14:paraId="4D74CF2D">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西秀区、平坝区、清镇市、乌当区、修文县</w:t>
            </w:r>
          </w:p>
        </w:tc>
        <w:tc>
          <w:tcPr>
            <w:tcW w:w="722" w:type="pct"/>
            <w:vMerge w:val="continue"/>
            <w:tcBorders>
              <w:tl2br w:val="nil"/>
              <w:tr2bl w:val="nil"/>
            </w:tcBorders>
            <w:tcMar>
              <w:top w:w="15" w:type="dxa"/>
              <w:left w:w="108" w:type="dxa"/>
              <w:bottom w:w="15" w:type="dxa"/>
              <w:right w:w="108" w:type="dxa"/>
            </w:tcMar>
            <w:vAlign w:val="center"/>
          </w:tcPr>
          <w:p w14:paraId="5731B218">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4BA9964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14:paraId="716E7B1A">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3" w:type="pct"/>
            <w:tcBorders>
              <w:tl2br w:val="nil"/>
              <w:tr2bl w:val="nil"/>
            </w:tcBorders>
            <w:tcMar>
              <w:top w:w="15" w:type="dxa"/>
              <w:left w:w="108" w:type="dxa"/>
              <w:bottom w:w="15" w:type="dxa"/>
              <w:right w:w="108" w:type="dxa"/>
            </w:tcMar>
            <w:vAlign w:val="center"/>
          </w:tcPr>
          <w:p w14:paraId="5B05D29C">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清水江</w:t>
            </w:r>
          </w:p>
        </w:tc>
        <w:tc>
          <w:tcPr>
            <w:tcW w:w="2805" w:type="pct"/>
            <w:tcBorders>
              <w:tl2br w:val="nil"/>
              <w:tr2bl w:val="nil"/>
            </w:tcBorders>
            <w:tcMar>
              <w:top w:w="15" w:type="dxa"/>
              <w:left w:w="108" w:type="dxa"/>
              <w:bottom w:w="15" w:type="dxa"/>
              <w:right w:w="108" w:type="dxa"/>
            </w:tcMar>
            <w:vAlign w:val="center"/>
          </w:tcPr>
          <w:p w14:paraId="108F89D1">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贵定县、都匀市、丹寨县、麻江县、凯里市、黄平县、施秉县、台江县、剑河县、锦屏县、天柱县</w:t>
            </w:r>
          </w:p>
        </w:tc>
        <w:tc>
          <w:tcPr>
            <w:tcW w:w="722" w:type="pct"/>
            <w:vMerge w:val="continue"/>
            <w:tcBorders>
              <w:tl2br w:val="nil"/>
              <w:tr2bl w:val="nil"/>
            </w:tcBorders>
            <w:tcMar>
              <w:top w:w="15" w:type="dxa"/>
              <w:left w:w="108" w:type="dxa"/>
              <w:bottom w:w="15" w:type="dxa"/>
              <w:right w:w="108" w:type="dxa"/>
            </w:tcMar>
            <w:vAlign w:val="center"/>
          </w:tcPr>
          <w:p w14:paraId="5A1DB7A1">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41534F8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14:paraId="3A9E4766">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3" w:type="pct"/>
            <w:tcBorders>
              <w:tl2br w:val="nil"/>
              <w:tr2bl w:val="nil"/>
            </w:tcBorders>
            <w:tcMar>
              <w:top w:w="15" w:type="dxa"/>
              <w:left w:w="108" w:type="dxa"/>
              <w:bottom w:w="15" w:type="dxa"/>
              <w:right w:w="108" w:type="dxa"/>
            </w:tcMar>
            <w:vAlign w:val="center"/>
          </w:tcPr>
          <w:p w14:paraId="5175D7E5">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清水河</w:t>
            </w:r>
          </w:p>
        </w:tc>
        <w:tc>
          <w:tcPr>
            <w:tcW w:w="2805" w:type="pct"/>
            <w:tcBorders>
              <w:tl2br w:val="nil"/>
              <w:tr2bl w:val="nil"/>
            </w:tcBorders>
            <w:tcMar>
              <w:top w:w="15" w:type="dxa"/>
              <w:left w:w="108" w:type="dxa"/>
              <w:bottom w:w="15" w:type="dxa"/>
              <w:right w:w="108" w:type="dxa"/>
            </w:tcMar>
            <w:vAlign w:val="center"/>
          </w:tcPr>
          <w:p w14:paraId="33EFF66C">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平坝区、花溪区、南明区、云岩区、乌当区、龙里县、福泉市、瓮安县、开阳县</w:t>
            </w:r>
          </w:p>
        </w:tc>
        <w:tc>
          <w:tcPr>
            <w:tcW w:w="722" w:type="pct"/>
            <w:vMerge w:val="continue"/>
            <w:tcBorders>
              <w:tl2br w:val="nil"/>
              <w:tr2bl w:val="nil"/>
            </w:tcBorders>
            <w:tcMar>
              <w:top w:w="15" w:type="dxa"/>
              <w:left w:w="108" w:type="dxa"/>
              <w:bottom w:w="15" w:type="dxa"/>
              <w:right w:w="108" w:type="dxa"/>
            </w:tcMar>
            <w:vAlign w:val="center"/>
          </w:tcPr>
          <w:p w14:paraId="60B24DD0">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0C9C68A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tl2br w:val="nil"/>
              <w:tr2bl w:val="nil"/>
            </w:tcBorders>
            <w:vAlign w:val="center"/>
          </w:tcPr>
          <w:p w14:paraId="5ECDE41A">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3" w:type="pct"/>
            <w:tcBorders>
              <w:tl2br w:val="nil"/>
              <w:tr2bl w:val="nil"/>
            </w:tcBorders>
            <w:tcMar>
              <w:top w:w="15" w:type="dxa"/>
              <w:left w:w="108" w:type="dxa"/>
              <w:bottom w:w="15" w:type="dxa"/>
              <w:right w:w="108" w:type="dxa"/>
            </w:tcMar>
            <w:vAlign w:val="center"/>
          </w:tcPr>
          <w:p w14:paraId="682BA902">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重安江</w:t>
            </w:r>
          </w:p>
        </w:tc>
        <w:tc>
          <w:tcPr>
            <w:tcW w:w="2805" w:type="pct"/>
            <w:tcBorders>
              <w:tl2br w:val="nil"/>
              <w:tr2bl w:val="nil"/>
            </w:tcBorders>
            <w:tcMar>
              <w:top w:w="15" w:type="dxa"/>
              <w:left w:w="108" w:type="dxa"/>
              <w:bottom w:w="15" w:type="dxa"/>
              <w:right w:w="108" w:type="dxa"/>
            </w:tcMar>
            <w:vAlign w:val="center"/>
          </w:tcPr>
          <w:p w14:paraId="011FC3BF">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麻江县、福泉市、黄平县、凯里市</w:t>
            </w:r>
          </w:p>
        </w:tc>
        <w:tc>
          <w:tcPr>
            <w:tcW w:w="722" w:type="pct"/>
            <w:vMerge w:val="continue"/>
            <w:tcBorders>
              <w:tl2br w:val="nil"/>
              <w:tr2bl w:val="nil"/>
            </w:tcBorders>
            <w:tcMar>
              <w:top w:w="15" w:type="dxa"/>
              <w:left w:w="108" w:type="dxa"/>
              <w:bottom w:w="15" w:type="dxa"/>
              <w:right w:w="108" w:type="dxa"/>
            </w:tcMar>
            <w:vAlign w:val="center"/>
          </w:tcPr>
          <w:p w14:paraId="71BCDA32">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bookmarkEnd w:id="134"/>
    </w:tbl>
    <w:p w14:paraId="5EEEEB33">
      <w:pPr>
        <w:spacing w:after="0"/>
        <w:jc w:val="both"/>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续</w:t>
      </w:r>
      <w:r>
        <w:rPr>
          <w:rFonts w:hint="default" w:ascii="Times New Roman" w:hAnsi="Times New Roman" w:eastAsia="宋体" w:cs="Times New Roman"/>
          <w:b/>
          <w:bCs/>
          <w:color w:val="auto"/>
          <w:sz w:val="28"/>
          <w:szCs w:val="28"/>
          <w:lang w:val="en-US" w:eastAsia="zh-CN"/>
        </w:rPr>
        <w:t>表</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val="en-US" w:eastAsia="zh-CN"/>
        </w:rPr>
        <w:t>-</w:t>
      </w:r>
      <w:r>
        <w:rPr>
          <w:rFonts w:hint="eastAsia" w:ascii="Times New Roman" w:hAnsi="Times New Roman" w:eastAsia="宋体" w:cs="Times New Roman"/>
          <w:b/>
          <w:bCs/>
          <w:color w:val="auto"/>
          <w:sz w:val="28"/>
          <w:szCs w:val="28"/>
          <w:lang w:val="en-US" w:eastAsia="zh-CN"/>
        </w:rPr>
        <w:t>1</w:t>
      </w:r>
      <w:r>
        <w:rPr>
          <w:rFonts w:hint="default" w:ascii="Times New Roman" w:hAnsi="Times New Roman" w:eastAsia="宋体" w:cs="Times New Roman"/>
          <w:b/>
          <w:bCs/>
          <w:color w:val="auto"/>
          <w:sz w:val="28"/>
          <w:szCs w:val="28"/>
          <w:lang w:val="en-US" w:eastAsia="zh-CN"/>
        </w:rPr>
        <w:t xml:space="preserve">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val="en-US" w:eastAsia="zh-CN"/>
        </w:rPr>
        <w:t>重要</w:t>
      </w:r>
      <w:r>
        <w:rPr>
          <w:rFonts w:hint="eastAsia" w:ascii="Times New Roman" w:hAnsi="Times New Roman" w:eastAsia="宋体" w:cs="Times New Roman"/>
          <w:b/>
          <w:bCs/>
          <w:color w:val="auto"/>
          <w:sz w:val="28"/>
          <w:szCs w:val="28"/>
          <w:lang w:val="en-US" w:eastAsia="zh-CN"/>
        </w:rPr>
        <w:t>江河</w:t>
      </w:r>
      <w:r>
        <w:rPr>
          <w:rFonts w:hint="default" w:ascii="Times New Roman" w:hAnsi="Times New Roman" w:eastAsia="宋体" w:cs="Times New Roman"/>
          <w:b/>
          <w:bCs/>
          <w:color w:val="auto"/>
          <w:sz w:val="28"/>
          <w:szCs w:val="28"/>
          <w:lang w:val="en-US" w:eastAsia="zh-CN"/>
        </w:rPr>
        <w:t>两岸及源头</w:t>
      </w:r>
      <w:r>
        <w:rPr>
          <w:rFonts w:hint="eastAsia" w:ascii="Times New Roman" w:hAnsi="Times New Roman" w:eastAsia="宋体" w:cs="Times New Roman"/>
          <w:b/>
          <w:bCs/>
          <w:color w:val="auto"/>
          <w:sz w:val="28"/>
          <w:szCs w:val="28"/>
          <w:lang w:val="en-US" w:eastAsia="zh-CN"/>
        </w:rPr>
        <w:t>区预防保护项目规划表</w:t>
      </w:r>
    </w:p>
    <w:tbl>
      <w:tblPr>
        <w:tblStyle w:val="19"/>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209"/>
        <w:gridCol w:w="1309"/>
        <w:gridCol w:w="4773"/>
        <w:gridCol w:w="1231"/>
      </w:tblGrid>
      <w:tr w14:paraId="077CEA8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tcBorders>
              <w:top w:val="single" w:color="000000" w:sz="12" w:space="0"/>
              <w:left w:val="nil"/>
              <w:bottom w:val="single" w:color="000000" w:sz="6" w:space="0"/>
              <w:right w:val="single" w:color="000000" w:sz="6" w:space="0"/>
            </w:tcBorders>
            <w:vAlign w:val="center"/>
          </w:tcPr>
          <w:p w14:paraId="6AE26088">
            <w:pPr>
              <w:adjustRightInd w:val="0"/>
              <w:snapToGrid w:val="0"/>
              <w:spacing w:after="0" w:line="240" w:lineRule="atLeast"/>
              <w:jc w:val="center"/>
              <w:rPr>
                <w:rFonts w:hint="default" w:ascii="Times New Roman" w:hAnsi="Times New Roman" w:eastAsia="宋体" w:cs="Times New Roman"/>
                <w:b/>
                <w:color w:val="auto"/>
                <w:kern w:val="2"/>
                <w:sz w:val="21"/>
              </w:rPr>
            </w:pPr>
            <w:r>
              <w:rPr>
                <w:rFonts w:hint="default" w:ascii="Times New Roman" w:hAnsi="Times New Roman" w:eastAsia="宋体" w:cs="Times New Roman"/>
                <w:b/>
                <w:color w:val="auto"/>
                <w:kern w:val="2"/>
                <w:sz w:val="21"/>
              </w:rPr>
              <w:t>项目名称</w:t>
            </w:r>
          </w:p>
        </w:tc>
        <w:tc>
          <w:tcPr>
            <w:tcW w:w="768" w:type="pct"/>
            <w:tcBorders>
              <w:top w:val="single" w:color="000000" w:sz="12"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243E3A00">
            <w:pPr>
              <w:adjustRightInd w:val="0"/>
              <w:snapToGrid w:val="0"/>
              <w:spacing w:after="0" w:line="240" w:lineRule="atLeast"/>
              <w:jc w:val="center"/>
              <w:rPr>
                <w:rFonts w:hint="default" w:ascii="Times New Roman" w:hAnsi="Times New Roman" w:eastAsia="宋体" w:cs="Times New Roman"/>
                <w:b/>
                <w:color w:val="auto"/>
                <w:kern w:val="2"/>
                <w:sz w:val="21"/>
                <w:lang w:val="en-US" w:eastAsia="zh-CN"/>
              </w:rPr>
            </w:pPr>
            <w:r>
              <w:rPr>
                <w:rFonts w:hint="eastAsia" w:ascii="Times New Roman" w:hAnsi="Times New Roman" w:eastAsia="宋体" w:cs="Times New Roman"/>
                <w:b/>
                <w:color w:val="auto"/>
                <w:kern w:val="2"/>
                <w:sz w:val="21"/>
                <w:lang w:val="en-US" w:eastAsia="zh-CN"/>
              </w:rPr>
              <w:t>预防保护对象</w:t>
            </w:r>
          </w:p>
        </w:tc>
        <w:tc>
          <w:tcPr>
            <w:tcW w:w="2800" w:type="pct"/>
            <w:tcBorders>
              <w:top w:val="single" w:color="000000" w:sz="12"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2AE892BB">
            <w:pPr>
              <w:adjustRightInd w:val="0"/>
              <w:snapToGrid w:val="0"/>
              <w:spacing w:after="0" w:line="240" w:lineRule="atLeast"/>
              <w:jc w:val="center"/>
              <w:rPr>
                <w:rFonts w:hint="default" w:ascii="Times New Roman" w:hAnsi="Times New Roman" w:eastAsia="宋体" w:cs="Times New Roman"/>
                <w:b/>
                <w:color w:val="auto"/>
                <w:kern w:val="2"/>
                <w:sz w:val="21"/>
              </w:rPr>
            </w:pPr>
            <w:r>
              <w:rPr>
                <w:rFonts w:hint="default" w:ascii="Times New Roman" w:hAnsi="Times New Roman" w:eastAsia="宋体" w:cs="Times New Roman"/>
                <w:b/>
                <w:color w:val="auto"/>
                <w:kern w:val="2"/>
                <w:sz w:val="21"/>
              </w:rPr>
              <w:t>涉及范围</w:t>
            </w:r>
          </w:p>
        </w:tc>
        <w:tc>
          <w:tcPr>
            <w:tcW w:w="722" w:type="pct"/>
            <w:tcBorders>
              <w:top w:val="single" w:color="000000" w:sz="12" w:space="0"/>
              <w:left w:val="single" w:color="000000" w:sz="6" w:space="0"/>
              <w:bottom w:val="single" w:color="000000" w:sz="6" w:space="0"/>
              <w:right w:val="nil"/>
            </w:tcBorders>
            <w:tcMar>
              <w:top w:w="15" w:type="dxa"/>
              <w:left w:w="108" w:type="dxa"/>
              <w:bottom w:w="15" w:type="dxa"/>
              <w:right w:w="108" w:type="dxa"/>
            </w:tcMar>
            <w:vAlign w:val="center"/>
          </w:tcPr>
          <w:p w14:paraId="247736CA">
            <w:pPr>
              <w:keepNext w:val="0"/>
              <w:keepLines w:val="0"/>
              <w:pageBreakBefore w:val="0"/>
              <w:widowControl w:val="0"/>
              <w:kinsoku/>
              <w:wordWrap/>
              <w:overflowPunct/>
              <w:topLinePunct w:val="0"/>
              <w:autoSpaceDE/>
              <w:autoSpaceDN/>
              <w:bidi w:val="0"/>
              <w:adjustRightInd/>
              <w:snapToGrid w:val="0"/>
              <w:spacing w:before="120" w:after="0" w:line="240" w:lineRule="auto"/>
              <w:jc w:val="center"/>
              <w:textAlignment w:val="auto"/>
              <w:rPr>
                <w:rFonts w:hint="default" w:ascii="Times New Roman" w:hAnsi="Times New Roman" w:eastAsia="宋体" w:cs="Times New Roman"/>
                <w:b/>
                <w:color w:val="auto"/>
                <w:kern w:val="2"/>
                <w:sz w:val="21"/>
              </w:rPr>
            </w:pPr>
            <w:r>
              <w:rPr>
                <w:rFonts w:hint="eastAsia" w:ascii="Times New Roman" w:hAnsi="Times New Roman" w:eastAsia="宋体" w:cs="Times New Roman"/>
                <w:b/>
                <w:color w:val="auto"/>
                <w:kern w:val="2"/>
                <w:sz w:val="21"/>
                <w:lang w:val="en-US" w:eastAsia="zh-CN"/>
              </w:rPr>
              <w:t>预防保护</w:t>
            </w:r>
            <w:r>
              <w:rPr>
                <w:rFonts w:hint="default" w:ascii="Times New Roman" w:hAnsi="Times New Roman" w:eastAsia="宋体" w:cs="Times New Roman"/>
                <w:b/>
                <w:color w:val="auto"/>
                <w:kern w:val="2"/>
                <w:sz w:val="21"/>
              </w:rPr>
              <w:t>面积</w:t>
            </w:r>
            <w:r>
              <w:rPr>
                <w:rFonts w:hint="eastAsia" w:ascii="Times New Roman" w:hAnsi="Times New Roman" w:eastAsia="宋体" w:cs="Times New Roman"/>
                <w:b/>
                <w:color w:val="auto"/>
                <w:kern w:val="2"/>
                <w:sz w:val="21"/>
                <w:lang w:eastAsia="zh-CN"/>
              </w:rPr>
              <w:t>（</w:t>
            </w:r>
            <w:r>
              <w:rPr>
                <w:rFonts w:hint="default" w:ascii="Times New Roman" w:hAnsi="Times New Roman" w:eastAsia="宋体" w:cs="Times New Roman"/>
                <w:b/>
                <w:color w:val="auto"/>
                <w:kern w:val="2"/>
                <w:sz w:val="21"/>
                <w:lang w:val="en-US" w:eastAsia="zh-CN"/>
              </w:rPr>
              <w:t>km</w:t>
            </w:r>
            <w:r>
              <w:rPr>
                <w:rFonts w:hint="default" w:ascii="Times New Roman" w:hAnsi="Times New Roman" w:eastAsia="宋体" w:cs="Times New Roman"/>
                <w:b/>
                <w:color w:val="auto"/>
                <w:kern w:val="2"/>
                <w:sz w:val="21"/>
                <w:vertAlign w:val="superscript"/>
                <w:lang w:val="en-US" w:eastAsia="zh-CN"/>
              </w:rPr>
              <w:t>2</w:t>
            </w:r>
            <w:r>
              <w:rPr>
                <w:rFonts w:hint="eastAsia" w:ascii="Times New Roman" w:hAnsi="Times New Roman" w:eastAsia="宋体" w:cs="Times New Roman"/>
                <w:b/>
                <w:color w:val="auto"/>
                <w:kern w:val="2"/>
                <w:sz w:val="21"/>
                <w:lang w:eastAsia="zh-CN"/>
              </w:rPr>
              <w:t>）</w:t>
            </w:r>
          </w:p>
        </w:tc>
      </w:tr>
      <w:tr w14:paraId="6B05059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restart"/>
            <w:tcBorders>
              <w:left w:val="nil"/>
              <w:right w:val="single" w:color="000000" w:sz="6" w:space="0"/>
            </w:tcBorders>
            <w:vAlign w:val="center"/>
          </w:tcPr>
          <w:p w14:paraId="69FE7F1F">
            <w:pPr>
              <w:adjustRightInd w:val="0"/>
              <w:snapToGrid w:val="0"/>
              <w:spacing w:after="0" w:line="240" w:lineRule="atLeast"/>
              <w:jc w:val="center"/>
              <w:rPr>
                <w:rFonts w:hint="default" w:ascii="Times New Roman" w:hAnsi="Times New Roman" w:eastAsia="宋体" w:cs="Times New Roman"/>
                <w:color w:val="auto"/>
                <w:kern w:val="2"/>
                <w:sz w:val="21"/>
              </w:rPr>
            </w:pPr>
            <w:r>
              <w:rPr>
                <w:rFonts w:hint="eastAsia" w:ascii="Times New Roman" w:hAnsi="Times New Roman" w:eastAsia="宋体" w:cs="Times New Roman"/>
                <w:color w:val="auto"/>
                <w:kern w:val="2"/>
                <w:sz w:val="21"/>
                <w:lang w:val="en-US" w:eastAsia="zh-CN"/>
              </w:rPr>
              <w:t>重要江河两岸及源头区预防保护</w:t>
            </w:r>
          </w:p>
        </w:tc>
        <w:tc>
          <w:tcPr>
            <w:tcW w:w="768" w:type="pct"/>
            <w:tcBorders>
              <w:top w:val="single" w:color="000000" w:sz="6" w:space="0"/>
              <w:left w:val="single" w:color="000000" w:sz="6" w:space="0"/>
              <w:right w:val="single" w:color="000000" w:sz="6" w:space="0"/>
            </w:tcBorders>
            <w:tcMar>
              <w:top w:w="15" w:type="dxa"/>
              <w:left w:w="108" w:type="dxa"/>
              <w:bottom w:w="15" w:type="dxa"/>
              <w:right w:w="108" w:type="dxa"/>
            </w:tcMar>
            <w:vAlign w:val="center"/>
          </w:tcPr>
          <w:p w14:paraId="716C4053">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芙蓉江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06B05F07">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绥阳县、正安县、道真县</w:t>
            </w:r>
          </w:p>
        </w:tc>
        <w:tc>
          <w:tcPr>
            <w:tcW w:w="722" w:type="pct"/>
            <w:vMerge w:val="restart"/>
            <w:tcBorders>
              <w:left w:val="single" w:color="000000" w:sz="6" w:space="0"/>
              <w:right w:val="nil"/>
            </w:tcBorders>
            <w:tcMar>
              <w:top w:w="15" w:type="dxa"/>
              <w:left w:w="108" w:type="dxa"/>
              <w:bottom w:w="15" w:type="dxa"/>
              <w:right w:w="108" w:type="dxa"/>
            </w:tcMar>
            <w:vAlign w:val="center"/>
          </w:tcPr>
          <w:p w14:paraId="0CD4BD75">
            <w:pPr>
              <w:adjustRightInd w:val="0"/>
              <w:snapToGrid w:val="0"/>
              <w:spacing w:after="0" w:line="240" w:lineRule="atLeast"/>
              <w:jc w:val="center"/>
              <w:rPr>
                <w:rFonts w:hint="default" w:ascii="Times New Roman" w:hAnsi="Times New Roman" w:eastAsia="宋体" w:cs="Times New Roman"/>
                <w:color w:val="auto"/>
                <w:kern w:val="2"/>
                <w:sz w:val="21"/>
                <w:lang w:eastAsia="zh-CN"/>
              </w:rPr>
            </w:pPr>
            <w:r>
              <w:rPr>
                <w:rFonts w:hint="default" w:ascii="Times New Roman" w:hAnsi="Times New Roman" w:eastAsia="宋体" w:cs="Times New Roman"/>
                <w:color w:val="auto"/>
                <w:kern w:val="2"/>
                <w:sz w:val="21"/>
                <w:lang w:val="en-US" w:eastAsia="zh-CN"/>
              </w:rPr>
              <w:t>2150</w:t>
            </w:r>
          </w:p>
        </w:tc>
      </w:tr>
      <w:tr w14:paraId="1AFB79FB">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13D24AB5">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2E65CE60">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北盘江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368D7911">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盘州市、水城区、普安县、六枝特区、晴隆县、兴仁市、关岭县、镇宁县、贞丰县、望谟县、册亨县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528F2FB5">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5CAF864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49D0F40F">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027A1667">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瓮安河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1F5476C4">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福泉市、瓮安县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16A5CFAB">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2DEB8D1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2059B70F">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5AE0955D">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三岔河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5D836FA5">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威宁县、钟山区、水城区、纳雍县、六枝特区、普定县、平坝县、织金县、清镇市、黔西市</w:t>
            </w:r>
          </w:p>
        </w:tc>
        <w:tc>
          <w:tcPr>
            <w:tcW w:w="722" w:type="pct"/>
            <w:vMerge w:val="continue"/>
            <w:tcBorders>
              <w:left w:val="single" w:color="000000" w:sz="6" w:space="0"/>
              <w:right w:val="nil"/>
            </w:tcBorders>
            <w:tcMar>
              <w:top w:w="15" w:type="dxa"/>
              <w:left w:w="108" w:type="dxa"/>
              <w:bottom w:w="15" w:type="dxa"/>
              <w:right w:w="108" w:type="dxa"/>
            </w:tcMar>
            <w:vAlign w:val="center"/>
          </w:tcPr>
          <w:p w14:paraId="08713BA6">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5E05524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5687E90A">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61518372">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水城河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76E4E607">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钟山区、水城区</w:t>
            </w:r>
          </w:p>
        </w:tc>
        <w:tc>
          <w:tcPr>
            <w:tcW w:w="722" w:type="pct"/>
            <w:vMerge w:val="continue"/>
            <w:tcBorders>
              <w:left w:val="single" w:color="000000" w:sz="6" w:space="0"/>
              <w:right w:val="nil"/>
            </w:tcBorders>
            <w:tcMar>
              <w:top w:w="15" w:type="dxa"/>
              <w:left w:w="108" w:type="dxa"/>
              <w:bottom w:w="15" w:type="dxa"/>
              <w:right w:w="108" w:type="dxa"/>
            </w:tcMar>
            <w:vAlign w:val="center"/>
          </w:tcPr>
          <w:p w14:paraId="489F1A45">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54407F95">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7C0595D6">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753C120F">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㵲阳河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4960CF51">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瓮安县、黄平县、施秉县、镇远县、岑巩县、玉屏县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06008E07">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6546911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7F5C841A">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4878873F">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都柳江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14602C92">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独山县、三都县、榕江县、从江县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6CC2624F">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78F774F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40" w:hRule="atLeast"/>
          <w:tblHeader/>
        </w:trPr>
        <w:tc>
          <w:tcPr>
            <w:tcW w:w="709" w:type="pct"/>
            <w:vMerge w:val="continue"/>
            <w:tcBorders>
              <w:left w:val="nil"/>
              <w:right w:val="single" w:color="000000" w:sz="6" w:space="0"/>
            </w:tcBorders>
            <w:vAlign w:val="center"/>
          </w:tcPr>
          <w:p w14:paraId="7FC4B847">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341008A2">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桐梓河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1648B860">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桐梓县、播州区、仁怀市、习水县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417EEFC6">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708ED78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337B4682">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298CDDEA">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红水河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2FD81648">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望谟县、罗甸县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4D0E51D4">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2865799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4BBD6093">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39DE4B9B">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六冲河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0F1CCF9F">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威宁县、赫章县、七星关区、纳雍县、大方县、黔西市、织金县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2C14B897">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2B8709F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6CD71996">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28BA87DD">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南盘江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10920F94">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兴义市、安龙县、册亨县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575C9A50">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560E88CE">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5D748B16">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18CCCA04">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樟江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5BD52E4D">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荔波县、从江县、三都县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1AAFF474">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767FB07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535DCE24">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616ACD6E">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涟江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2C936D54">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花溪区、惠水县、罗甸县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71B23321">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34C19A1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666B0E71">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1726C682">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松桃河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317AF01D">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松桃县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73FAB9B4">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7DE65E8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15510904">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5414CCBC">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湘江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6F38A27A">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播州区、红花岗区</w:t>
            </w:r>
          </w:p>
        </w:tc>
        <w:tc>
          <w:tcPr>
            <w:tcW w:w="722" w:type="pct"/>
            <w:vMerge w:val="continue"/>
            <w:tcBorders>
              <w:left w:val="single" w:color="000000" w:sz="6" w:space="0"/>
              <w:right w:val="nil"/>
            </w:tcBorders>
            <w:tcMar>
              <w:top w:w="15" w:type="dxa"/>
              <w:left w:w="108" w:type="dxa"/>
              <w:bottom w:w="15" w:type="dxa"/>
              <w:right w:w="108" w:type="dxa"/>
            </w:tcMar>
            <w:vAlign w:val="center"/>
          </w:tcPr>
          <w:p w14:paraId="2CCD6762">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00F8D45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25EFDA88">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7371EF21">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偏岩河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1295DE6F">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金沙县、播州区</w:t>
            </w:r>
          </w:p>
        </w:tc>
        <w:tc>
          <w:tcPr>
            <w:tcW w:w="722" w:type="pct"/>
            <w:vMerge w:val="continue"/>
            <w:tcBorders>
              <w:left w:val="single" w:color="000000" w:sz="6" w:space="0"/>
              <w:right w:val="nil"/>
            </w:tcBorders>
            <w:tcMar>
              <w:top w:w="15" w:type="dxa"/>
              <w:left w:w="108" w:type="dxa"/>
              <w:bottom w:w="15" w:type="dxa"/>
              <w:right w:w="108" w:type="dxa"/>
            </w:tcMar>
            <w:vAlign w:val="center"/>
          </w:tcPr>
          <w:p w14:paraId="0D257CCB">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286A9A1F">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519E2D41">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4247215B">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巴拉河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60430673">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雷山县、凯里市、台江县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509FCB27">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3252029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3CF2C454">
            <w:pPr>
              <w:adjustRightInd w:val="0"/>
              <w:snapToGrid w:val="0"/>
              <w:spacing w:after="0" w:line="240" w:lineRule="atLeast"/>
              <w:jc w:val="center"/>
              <w:rPr>
                <w:rFonts w:hint="default" w:ascii="Times New Roman" w:hAnsi="Times New Roman" w:eastAsia="宋体" w:cs="Times New Roman"/>
                <w:color w:val="auto"/>
                <w:kern w:val="2"/>
                <w:sz w:val="21"/>
                <w:lang w:val="en-US" w:eastAsia="zh-CN"/>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13A032CE">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麻沙河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6E669E94">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兴仁市、晴隆县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596E82E8">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7174576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5A5A17DC">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7AF3518A">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白甫河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5F6B115D">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七星关区、大方县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6237C5E4">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214947C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10038854">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267CCB2E">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野纪河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23D0EEB9">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黔西市、金沙县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4CE8CDDB">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57A03B0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6A853DA7">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723A0758">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习水河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1BC8C4E4">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习水县、赤水市</w:t>
            </w:r>
          </w:p>
        </w:tc>
        <w:tc>
          <w:tcPr>
            <w:tcW w:w="722" w:type="pct"/>
            <w:vMerge w:val="continue"/>
            <w:tcBorders>
              <w:left w:val="single" w:color="000000" w:sz="6" w:space="0"/>
              <w:right w:val="nil"/>
            </w:tcBorders>
            <w:tcMar>
              <w:top w:w="15" w:type="dxa"/>
              <w:left w:w="108" w:type="dxa"/>
              <w:bottom w:w="15" w:type="dxa"/>
              <w:right w:w="108" w:type="dxa"/>
            </w:tcMar>
            <w:vAlign w:val="center"/>
          </w:tcPr>
          <w:p w14:paraId="33829754">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1AE40E1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2C267480">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517A39B2">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锦江</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0B60F930">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江口县、碧江区</w:t>
            </w:r>
          </w:p>
        </w:tc>
        <w:tc>
          <w:tcPr>
            <w:tcW w:w="722" w:type="pct"/>
            <w:vMerge w:val="continue"/>
            <w:tcBorders>
              <w:left w:val="single" w:color="000000" w:sz="6" w:space="0"/>
              <w:right w:val="nil"/>
            </w:tcBorders>
            <w:tcMar>
              <w:top w:w="15" w:type="dxa"/>
              <w:left w:w="108" w:type="dxa"/>
              <w:bottom w:w="15" w:type="dxa"/>
              <w:right w:w="108" w:type="dxa"/>
            </w:tcMar>
            <w:vAlign w:val="center"/>
          </w:tcPr>
          <w:p w14:paraId="3050101B">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7F84E66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5EFF4F5A">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52E53F7C">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打邦河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40789605">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西秀区、镇宁县、关岭县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28F732E5">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335646E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41B069D4">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235BA798">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乌都河</w:t>
            </w:r>
          </w:p>
        </w:tc>
        <w:tc>
          <w:tcPr>
            <w:tcW w:w="2800"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142E2A6B">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盘州市、水城区、普安市</w:t>
            </w:r>
          </w:p>
        </w:tc>
        <w:tc>
          <w:tcPr>
            <w:tcW w:w="722" w:type="pct"/>
            <w:vMerge w:val="continue"/>
            <w:tcBorders>
              <w:left w:val="single" w:color="000000" w:sz="6" w:space="0"/>
              <w:right w:val="nil"/>
            </w:tcBorders>
            <w:tcMar>
              <w:top w:w="15" w:type="dxa"/>
              <w:left w:w="108" w:type="dxa"/>
              <w:bottom w:w="15" w:type="dxa"/>
              <w:right w:w="108" w:type="dxa"/>
            </w:tcMar>
            <w:vAlign w:val="center"/>
          </w:tcPr>
          <w:p w14:paraId="6AE73C64">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r w14:paraId="47BBC01D">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trPr>
        <w:tc>
          <w:tcPr>
            <w:tcW w:w="709" w:type="pct"/>
            <w:vMerge w:val="continue"/>
            <w:tcBorders>
              <w:left w:val="nil"/>
              <w:right w:val="single" w:color="000000" w:sz="6" w:space="0"/>
            </w:tcBorders>
            <w:vAlign w:val="center"/>
          </w:tcPr>
          <w:p w14:paraId="5CD8D620">
            <w:pPr>
              <w:adjustRightInd w:val="0"/>
              <w:snapToGrid w:val="0"/>
              <w:spacing w:after="0" w:line="240" w:lineRule="atLeast"/>
              <w:jc w:val="center"/>
              <w:rPr>
                <w:rFonts w:hint="default" w:ascii="Times New Roman" w:hAnsi="Times New Roman" w:eastAsia="宋体" w:cs="Times New Roman"/>
                <w:color w:val="auto"/>
                <w:kern w:val="2"/>
                <w:sz w:val="21"/>
              </w:rPr>
            </w:pPr>
          </w:p>
        </w:tc>
        <w:tc>
          <w:tcPr>
            <w:tcW w:w="768" w:type="pct"/>
            <w:tcBorders>
              <w:top w:val="single" w:color="000000" w:sz="6" w:space="0"/>
              <w:left w:val="single" w:color="000000" w:sz="6" w:space="0"/>
              <w:right w:val="single" w:color="000000" w:sz="6" w:space="0"/>
            </w:tcBorders>
            <w:tcMar>
              <w:top w:w="15" w:type="dxa"/>
              <w:left w:w="108" w:type="dxa"/>
              <w:bottom w:w="15" w:type="dxa"/>
              <w:right w:w="108" w:type="dxa"/>
            </w:tcMar>
            <w:vAlign w:val="center"/>
          </w:tcPr>
          <w:p w14:paraId="450E31A4">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蒙江</w:t>
            </w:r>
          </w:p>
        </w:tc>
        <w:tc>
          <w:tcPr>
            <w:tcW w:w="2800" w:type="pct"/>
            <w:tcBorders>
              <w:top w:val="single" w:color="000000" w:sz="6" w:space="0"/>
              <w:left w:val="single" w:color="000000" w:sz="6" w:space="0"/>
              <w:right w:val="single" w:color="000000" w:sz="6" w:space="0"/>
            </w:tcBorders>
            <w:tcMar>
              <w:top w:w="15" w:type="dxa"/>
              <w:left w:w="108" w:type="dxa"/>
              <w:bottom w:w="15" w:type="dxa"/>
              <w:right w:w="108" w:type="dxa"/>
            </w:tcMar>
            <w:vAlign w:val="center"/>
          </w:tcPr>
          <w:p w14:paraId="76A50C0E">
            <w:pPr>
              <w:adjustRightInd w:val="0"/>
              <w:snapToGrid w:val="0"/>
              <w:spacing w:after="0" w:line="240" w:lineRule="atLeast"/>
              <w:jc w:val="center"/>
              <w:rPr>
                <w:rFonts w:hint="eastAsia" w:ascii="Times New Roman" w:hAnsi="Times New Roman" w:eastAsia="宋体" w:cs="Times New Roman"/>
                <w:color w:val="auto"/>
                <w:kern w:val="2"/>
                <w:sz w:val="21"/>
                <w:lang w:val="en-US" w:eastAsia="zh-CN"/>
              </w:rPr>
            </w:pPr>
            <w:r>
              <w:rPr>
                <w:rFonts w:hint="eastAsia" w:ascii="Times New Roman" w:hAnsi="Times New Roman" w:eastAsia="宋体" w:cs="Times New Roman"/>
                <w:color w:val="auto"/>
                <w:kern w:val="2"/>
                <w:sz w:val="21"/>
                <w:lang w:val="en-US" w:eastAsia="zh-CN"/>
              </w:rPr>
              <w:t>紫云县、长顺县、罗甸县</w:t>
            </w:r>
          </w:p>
        </w:tc>
        <w:tc>
          <w:tcPr>
            <w:tcW w:w="722" w:type="pct"/>
            <w:vMerge w:val="continue"/>
            <w:tcBorders>
              <w:left w:val="single" w:color="000000" w:sz="6" w:space="0"/>
              <w:right w:val="nil"/>
            </w:tcBorders>
            <w:tcMar>
              <w:top w:w="15" w:type="dxa"/>
              <w:left w:w="108" w:type="dxa"/>
              <w:bottom w:w="15" w:type="dxa"/>
              <w:right w:w="108" w:type="dxa"/>
            </w:tcMar>
            <w:vAlign w:val="center"/>
          </w:tcPr>
          <w:p w14:paraId="58E6C82D">
            <w:pPr>
              <w:adjustRightInd w:val="0"/>
              <w:snapToGrid w:val="0"/>
              <w:spacing w:after="0" w:line="240" w:lineRule="atLeast"/>
              <w:jc w:val="center"/>
              <w:rPr>
                <w:rFonts w:hint="default" w:ascii="Times New Roman" w:hAnsi="Times New Roman" w:eastAsia="宋体" w:cs="Times New Roman"/>
                <w:color w:val="auto"/>
                <w:kern w:val="2"/>
                <w:sz w:val="21"/>
                <w:lang w:eastAsia="zh-CN"/>
              </w:rPr>
            </w:pPr>
          </w:p>
        </w:tc>
      </w:tr>
    </w:tbl>
    <w:p w14:paraId="7CC1EF26">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35" w:name="_Toc20770"/>
      <w:r>
        <w:rPr>
          <w:rFonts w:hint="eastAsia" w:ascii="Times New Roman" w:hAnsi="Times New Roman" w:eastAsia="楷体_GB2312" w:cs="Times New Roman"/>
          <w:b/>
          <w:bCs w:val="0"/>
          <w:snapToGrid w:val="0"/>
          <w:color w:val="auto"/>
          <w:kern w:val="2"/>
          <w:sz w:val="30"/>
          <w:szCs w:val="30"/>
          <w:lang w:val="en-US" w:eastAsia="zh-CN" w:bidi="ar-SA"/>
        </w:rPr>
        <w:t>（二）重要饮用水水源地</w:t>
      </w:r>
      <w:bookmarkEnd w:id="135"/>
      <w:r>
        <w:rPr>
          <w:rFonts w:hint="eastAsia" w:ascii="Times New Roman" w:hAnsi="Times New Roman" w:eastAsia="楷体_GB2312" w:cs="Times New Roman"/>
          <w:b/>
          <w:bCs w:val="0"/>
          <w:snapToGrid w:val="0"/>
          <w:color w:val="auto"/>
          <w:kern w:val="2"/>
          <w:sz w:val="30"/>
          <w:szCs w:val="30"/>
          <w:lang w:val="en-US" w:eastAsia="zh-CN" w:bidi="ar-SA"/>
        </w:rPr>
        <w:t>水土流失预防</w:t>
      </w:r>
    </w:p>
    <w:p w14:paraId="3D397320">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8"/>
          <w:szCs w:val="28"/>
          <w:lang w:eastAsia="zh-CN"/>
        </w:rPr>
        <w:t>依据水源地供水区域的重要性及水源地保护的迫切性，确定</w:t>
      </w:r>
      <w:r>
        <w:rPr>
          <w:rFonts w:hint="default" w:ascii="Times New Roman" w:hAnsi="Times New Roman" w:cs="Times New Roman" w:eastAsiaTheme="minorEastAsia"/>
          <w:color w:val="auto"/>
          <w:sz w:val="28"/>
          <w:szCs w:val="28"/>
          <w:lang w:val="en-US" w:eastAsia="zh-CN"/>
        </w:rPr>
        <w:t>全省29个中心城市集中式饮用水水源保护区为</w:t>
      </w:r>
      <w:r>
        <w:rPr>
          <w:rFonts w:hint="default" w:ascii="Times New Roman" w:hAnsi="Times New Roman" w:cs="Times New Roman" w:eastAsiaTheme="minorEastAsia"/>
          <w:color w:val="auto"/>
          <w:sz w:val="28"/>
          <w:szCs w:val="28"/>
          <w:lang w:eastAsia="zh-CN"/>
        </w:rPr>
        <w:t>“十</w:t>
      </w:r>
      <w:r>
        <w:rPr>
          <w:rFonts w:hint="default" w:ascii="Times New Roman" w:hAnsi="Times New Roman" w:cs="Times New Roman" w:eastAsiaTheme="minorEastAsia"/>
          <w:color w:val="auto"/>
          <w:sz w:val="28"/>
          <w:szCs w:val="28"/>
          <w:lang w:val="en-US" w:eastAsia="zh-CN"/>
        </w:rPr>
        <w:t>四</w:t>
      </w:r>
      <w:r>
        <w:rPr>
          <w:rFonts w:hint="default" w:ascii="Times New Roman" w:hAnsi="Times New Roman" w:cs="Times New Roman" w:eastAsiaTheme="minorEastAsia"/>
          <w:color w:val="auto"/>
          <w:sz w:val="28"/>
          <w:szCs w:val="28"/>
          <w:lang w:eastAsia="zh-CN"/>
        </w:rPr>
        <w:t>五”期间重点</w:t>
      </w:r>
      <w:r>
        <w:rPr>
          <w:rFonts w:hint="default" w:ascii="Times New Roman" w:hAnsi="Times New Roman" w:cs="Times New Roman" w:eastAsiaTheme="minorEastAsia"/>
          <w:color w:val="auto"/>
          <w:sz w:val="28"/>
          <w:szCs w:val="28"/>
          <w:lang w:val="en-US" w:eastAsia="zh-CN"/>
        </w:rPr>
        <w:t>预防</w:t>
      </w:r>
      <w:r>
        <w:rPr>
          <w:rFonts w:hint="default" w:ascii="Times New Roman" w:hAnsi="Times New Roman" w:cs="Times New Roman" w:eastAsiaTheme="minorEastAsia"/>
          <w:color w:val="auto"/>
          <w:sz w:val="28"/>
          <w:szCs w:val="28"/>
          <w:lang w:eastAsia="zh-CN"/>
        </w:rPr>
        <w:t>范围，</w:t>
      </w:r>
      <w:r>
        <w:rPr>
          <w:rFonts w:hint="default" w:ascii="Times New Roman" w:hAnsi="Times New Roman" w:cs="Times New Roman" w:eastAsiaTheme="minorEastAsia"/>
          <w:color w:val="auto"/>
          <w:sz w:val="28"/>
          <w:szCs w:val="28"/>
          <w:lang w:val="en-US" w:eastAsia="zh-CN"/>
        </w:rPr>
        <w:t>计划水土流失预防面积2562km</w:t>
      </w:r>
      <w:r>
        <w:rPr>
          <w:rFonts w:hint="default" w:ascii="Times New Roman" w:hAnsi="Times New Roman" w:cs="Times New Roman" w:eastAsiaTheme="minorEastAsia"/>
          <w:color w:val="auto"/>
          <w:sz w:val="28"/>
          <w:szCs w:val="28"/>
          <w:vertAlign w:val="superscript"/>
          <w:lang w:val="en-US" w:eastAsia="zh-CN"/>
        </w:rPr>
        <w:t>2</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lang w:val="en-US" w:eastAsia="zh-CN"/>
        </w:rPr>
        <w:t>详见表4-2。</w:t>
      </w:r>
    </w:p>
    <w:p w14:paraId="6DE55A10">
      <w:pPr>
        <w:spacing w:after="0"/>
        <w:jc w:val="both"/>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表4-2         重要饮用水水源地预防保护项目规划表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1626"/>
        <w:gridCol w:w="2630"/>
        <w:gridCol w:w="1911"/>
        <w:gridCol w:w="2352"/>
      </w:tblGrid>
      <w:tr w14:paraId="02EEAAAC">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tcBorders>
              <w:tl2br w:val="nil"/>
              <w:tr2bl w:val="nil"/>
            </w:tcBorders>
            <w:vAlign w:val="center"/>
          </w:tcPr>
          <w:p w14:paraId="1A1E5A69">
            <w:pPr>
              <w:adjustRightInd w:val="0"/>
              <w:snapToGrid w:val="0"/>
              <w:spacing w:after="0" w:line="240" w:lineRule="atLeast"/>
              <w:jc w:val="center"/>
              <w:rPr>
                <w:rFonts w:hint="default" w:ascii="Times New Roman" w:hAnsi="Times New Roman" w:cs="Times New Roman" w:eastAsiaTheme="minorEastAsia"/>
                <w:b/>
                <w:color w:val="auto"/>
                <w:kern w:val="2"/>
                <w:sz w:val="24"/>
                <w:szCs w:val="24"/>
              </w:rPr>
            </w:pPr>
            <w:r>
              <w:rPr>
                <w:rFonts w:hint="default" w:ascii="Times New Roman" w:hAnsi="Times New Roman" w:cs="Times New Roman" w:eastAsiaTheme="minorEastAsia"/>
                <w:b/>
                <w:color w:val="auto"/>
                <w:kern w:val="2"/>
                <w:sz w:val="24"/>
                <w:szCs w:val="24"/>
              </w:rPr>
              <w:t>项目名称</w:t>
            </w:r>
          </w:p>
        </w:tc>
        <w:tc>
          <w:tcPr>
            <w:tcW w:w="1543" w:type="pct"/>
            <w:tcBorders>
              <w:tl2br w:val="nil"/>
              <w:tr2bl w:val="nil"/>
            </w:tcBorders>
            <w:tcMar>
              <w:top w:w="15" w:type="dxa"/>
              <w:left w:w="108" w:type="dxa"/>
              <w:bottom w:w="15" w:type="dxa"/>
              <w:right w:w="108" w:type="dxa"/>
            </w:tcMar>
            <w:vAlign w:val="center"/>
          </w:tcPr>
          <w:p w14:paraId="5C53A5B6">
            <w:pPr>
              <w:adjustRightInd w:val="0"/>
              <w:snapToGrid w:val="0"/>
              <w:spacing w:after="0" w:line="240" w:lineRule="atLeast"/>
              <w:jc w:val="center"/>
              <w:rPr>
                <w:rFonts w:hint="default" w:ascii="Times New Roman" w:hAnsi="Times New Roman" w:cs="Times New Roman" w:eastAsiaTheme="minorEastAsia"/>
                <w:b/>
                <w:color w:val="auto"/>
                <w:kern w:val="2"/>
                <w:sz w:val="24"/>
                <w:szCs w:val="24"/>
                <w:lang w:val="en-US" w:eastAsia="zh-CN"/>
              </w:rPr>
            </w:pPr>
            <w:r>
              <w:rPr>
                <w:rFonts w:hint="default" w:ascii="Times New Roman" w:hAnsi="Times New Roman" w:cs="Times New Roman" w:eastAsiaTheme="minorEastAsia"/>
                <w:b/>
                <w:color w:val="auto"/>
                <w:kern w:val="2"/>
                <w:sz w:val="24"/>
                <w:szCs w:val="24"/>
                <w:lang w:val="en-US" w:eastAsia="zh-CN"/>
              </w:rPr>
              <w:t>预防保护对象</w:t>
            </w:r>
          </w:p>
        </w:tc>
        <w:tc>
          <w:tcPr>
            <w:tcW w:w="1121" w:type="pct"/>
            <w:tcBorders>
              <w:tl2br w:val="nil"/>
              <w:tr2bl w:val="nil"/>
            </w:tcBorders>
            <w:tcMar>
              <w:top w:w="15" w:type="dxa"/>
              <w:left w:w="108" w:type="dxa"/>
              <w:bottom w:w="15" w:type="dxa"/>
              <w:right w:w="108" w:type="dxa"/>
            </w:tcMar>
            <w:vAlign w:val="center"/>
          </w:tcPr>
          <w:p w14:paraId="29198356">
            <w:pPr>
              <w:adjustRightInd w:val="0"/>
              <w:snapToGrid w:val="0"/>
              <w:spacing w:after="0" w:line="240" w:lineRule="atLeast"/>
              <w:jc w:val="center"/>
              <w:rPr>
                <w:rFonts w:hint="default" w:ascii="Times New Roman" w:hAnsi="Times New Roman" w:cs="Times New Roman" w:eastAsiaTheme="minorEastAsia"/>
                <w:b/>
                <w:color w:val="auto"/>
                <w:kern w:val="2"/>
                <w:sz w:val="24"/>
                <w:szCs w:val="24"/>
                <w:lang w:val="en-US" w:eastAsia="zh-CN"/>
              </w:rPr>
            </w:pPr>
            <w:r>
              <w:rPr>
                <w:rFonts w:hint="default" w:ascii="Times New Roman" w:hAnsi="Times New Roman" w:cs="Times New Roman" w:eastAsiaTheme="minorEastAsia"/>
                <w:b/>
                <w:color w:val="auto"/>
                <w:kern w:val="2"/>
                <w:sz w:val="24"/>
                <w:szCs w:val="24"/>
                <w:lang w:val="en-US" w:eastAsia="zh-CN"/>
              </w:rPr>
              <w:t>涉及范围</w:t>
            </w:r>
          </w:p>
        </w:tc>
        <w:tc>
          <w:tcPr>
            <w:tcW w:w="1380" w:type="pct"/>
            <w:tcBorders>
              <w:tl2br w:val="nil"/>
              <w:tr2bl w:val="nil"/>
            </w:tcBorders>
            <w:tcMar>
              <w:top w:w="15" w:type="dxa"/>
              <w:left w:w="108" w:type="dxa"/>
              <w:bottom w:w="15" w:type="dxa"/>
              <w:right w:w="108" w:type="dxa"/>
            </w:tcMar>
            <w:vAlign w:val="center"/>
          </w:tcPr>
          <w:p w14:paraId="3550EF6A">
            <w:pPr>
              <w:adjustRightInd w:val="0"/>
              <w:snapToGrid w:val="0"/>
              <w:spacing w:after="0" w:line="240" w:lineRule="atLeast"/>
              <w:jc w:val="center"/>
              <w:rPr>
                <w:rFonts w:hint="default" w:ascii="Times New Roman" w:hAnsi="Times New Roman" w:cs="Times New Roman" w:eastAsiaTheme="minorEastAsia"/>
                <w:b/>
                <w:color w:val="auto"/>
                <w:kern w:val="2"/>
                <w:sz w:val="24"/>
                <w:szCs w:val="24"/>
                <w:lang w:val="en-US" w:eastAsia="zh-CN"/>
              </w:rPr>
            </w:pPr>
            <w:r>
              <w:rPr>
                <w:rFonts w:hint="default" w:ascii="Times New Roman" w:hAnsi="Times New Roman" w:cs="Times New Roman" w:eastAsiaTheme="minorEastAsia"/>
                <w:b/>
                <w:color w:val="auto"/>
                <w:kern w:val="2"/>
                <w:sz w:val="24"/>
                <w:szCs w:val="24"/>
                <w:lang w:val="en-US" w:eastAsia="zh-CN"/>
              </w:rPr>
              <w:t>预防保护</w:t>
            </w:r>
            <w:r>
              <w:rPr>
                <w:rFonts w:hint="default" w:ascii="Times New Roman" w:hAnsi="Times New Roman" w:cs="Times New Roman" w:eastAsiaTheme="minorEastAsia"/>
                <w:b/>
                <w:color w:val="auto"/>
                <w:kern w:val="2"/>
                <w:sz w:val="24"/>
                <w:szCs w:val="24"/>
              </w:rPr>
              <w:t>面积</w:t>
            </w:r>
            <w:r>
              <w:rPr>
                <w:rFonts w:hint="default" w:ascii="Times New Roman" w:hAnsi="Times New Roman" w:cs="Times New Roman" w:eastAsiaTheme="minorEastAsia"/>
                <w:b/>
                <w:color w:val="auto"/>
                <w:kern w:val="2"/>
                <w:sz w:val="24"/>
                <w:szCs w:val="24"/>
                <w:lang w:eastAsia="zh-CN"/>
              </w:rPr>
              <w:t>（</w:t>
            </w:r>
            <w:r>
              <w:rPr>
                <w:rFonts w:hint="default" w:ascii="Times New Roman" w:hAnsi="Times New Roman" w:cs="Times New Roman" w:eastAsiaTheme="minorEastAsia"/>
                <w:b/>
                <w:color w:val="auto"/>
                <w:kern w:val="2"/>
                <w:sz w:val="24"/>
                <w:szCs w:val="24"/>
                <w:lang w:val="en-US" w:eastAsia="zh-CN"/>
              </w:rPr>
              <w:t>km</w:t>
            </w:r>
            <w:r>
              <w:rPr>
                <w:rFonts w:hint="default" w:ascii="Times New Roman" w:hAnsi="Times New Roman" w:cs="Times New Roman" w:eastAsiaTheme="minorEastAsia"/>
                <w:b/>
                <w:color w:val="auto"/>
                <w:kern w:val="2"/>
                <w:sz w:val="24"/>
                <w:szCs w:val="24"/>
                <w:vertAlign w:val="superscript"/>
                <w:lang w:val="en-US" w:eastAsia="zh-CN"/>
              </w:rPr>
              <w:t>2</w:t>
            </w:r>
            <w:r>
              <w:rPr>
                <w:rFonts w:hint="default" w:ascii="Times New Roman" w:hAnsi="Times New Roman" w:cs="Times New Roman" w:eastAsiaTheme="minorEastAsia"/>
                <w:b/>
                <w:color w:val="auto"/>
                <w:kern w:val="2"/>
                <w:sz w:val="24"/>
                <w:szCs w:val="24"/>
                <w:lang w:eastAsia="zh-CN"/>
              </w:rPr>
              <w:t>）</w:t>
            </w:r>
          </w:p>
        </w:tc>
      </w:tr>
      <w:tr w14:paraId="46676AD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restart"/>
            <w:tcBorders>
              <w:tl2br w:val="nil"/>
              <w:tr2bl w:val="nil"/>
            </w:tcBorders>
            <w:vAlign w:val="center"/>
          </w:tcPr>
          <w:p w14:paraId="7F8249F8">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重要饮用水水源地预防保护</w:t>
            </w:r>
          </w:p>
        </w:tc>
        <w:tc>
          <w:tcPr>
            <w:tcW w:w="1543" w:type="pct"/>
            <w:tcBorders>
              <w:tl2br w:val="nil"/>
              <w:tr2bl w:val="nil"/>
            </w:tcBorders>
            <w:tcMar>
              <w:top w:w="15" w:type="dxa"/>
              <w:left w:w="108" w:type="dxa"/>
              <w:bottom w:w="15" w:type="dxa"/>
              <w:right w:w="108" w:type="dxa"/>
            </w:tcMar>
            <w:vAlign w:val="center"/>
          </w:tcPr>
          <w:p w14:paraId="38681CDF">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红枫湖</w:t>
            </w:r>
          </w:p>
        </w:tc>
        <w:tc>
          <w:tcPr>
            <w:tcW w:w="1121" w:type="pct"/>
            <w:tcBorders>
              <w:tl2br w:val="nil"/>
              <w:tr2bl w:val="nil"/>
            </w:tcBorders>
            <w:tcMar>
              <w:top w:w="15" w:type="dxa"/>
              <w:left w:w="108" w:type="dxa"/>
              <w:bottom w:w="15" w:type="dxa"/>
              <w:right w:w="108" w:type="dxa"/>
            </w:tcMar>
            <w:vAlign w:val="center"/>
          </w:tcPr>
          <w:p w14:paraId="1DCD77A9">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14:paraId="285A5F1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414.</w:t>
            </w:r>
            <w:r>
              <w:rPr>
                <w:rFonts w:hint="eastAsia" w:ascii="Times New Roman" w:hAnsi="Times New Roman" w:cs="Times New Roman"/>
                <w:i w:val="0"/>
                <w:iCs w:val="0"/>
                <w:color w:val="auto"/>
                <w:kern w:val="0"/>
                <w:sz w:val="24"/>
                <w:szCs w:val="24"/>
                <w:u w:val="none"/>
                <w:lang w:val="en-US" w:eastAsia="zh-CN" w:bidi="ar"/>
              </w:rPr>
              <w:t>01</w:t>
            </w:r>
          </w:p>
        </w:tc>
      </w:tr>
      <w:tr w14:paraId="0925A8C0">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01141F08">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14449264">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百花湖</w:t>
            </w:r>
          </w:p>
        </w:tc>
        <w:tc>
          <w:tcPr>
            <w:tcW w:w="1121" w:type="pct"/>
            <w:tcBorders>
              <w:tl2br w:val="nil"/>
              <w:tr2bl w:val="nil"/>
            </w:tcBorders>
            <w:tcMar>
              <w:top w:w="15" w:type="dxa"/>
              <w:left w:w="108" w:type="dxa"/>
              <w:bottom w:w="15" w:type="dxa"/>
              <w:right w:w="108" w:type="dxa"/>
            </w:tcMar>
            <w:vAlign w:val="center"/>
          </w:tcPr>
          <w:p w14:paraId="198B05F8">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14:paraId="1C9E38E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403.30</w:t>
            </w:r>
          </w:p>
        </w:tc>
      </w:tr>
      <w:tr w14:paraId="097F68FC">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65DE4477">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eastAsia="zh-CN"/>
              </w:rPr>
            </w:pPr>
          </w:p>
        </w:tc>
        <w:tc>
          <w:tcPr>
            <w:tcW w:w="1543" w:type="pct"/>
            <w:tcBorders>
              <w:tl2br w:val="nil"/>
              <w:tr2bl w:val="nil"/>
            </w:tcBorders>
            <w:tcMar>
              <w:top w:w="15" w:type="dxa"/>
              <w:left w:w="108" w:type="dxa"/>
              <w:bottom w:w="15" w:type="dxa"/>
              <w:right w:w="108" w:type="dxa"/>
            </w:tcMar>
            <w:vAlign w:val="center"/>
          </w:tcPr>
          <w:p w14:paraId="16C20C06">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汪家大井</w:t>
            </w:r>
          </w:p>
        </w:tc>
        <w:tc>
          <w:tcPr>
            <w:tcW w:w="1121" w:type="pct"/>
            <w:tcBorders>
              <w:tl2br w:val="nil"/>
              <w:tr2bl w:val="nil"/>
            </w:tcBorders>
            <w:tcMar>
              <w:top w:w="15" w:type="dxa"/>
              <w:left w:w="108" w:type="dxa"/>
              <w:bottom w:w="15" w:type="dxa"/>
              <w:right w:w="108" w:type="dxa"/>
            </w:tcMar>
            <w:vAlign w:val="center"/>
          </w:tcPr>
          <w:p w14:paraId="06126FE8">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14:paraId="6ECBE7E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337.04</w:t>
            </w:r>
          </w:p>
        </w:tc>
      </w:tr>
      <w:tr w14:paraId="36FF0234">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251135A4">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692858B6">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中槽水厂（南明河）</w:t>
            </w:r>
          </w:p>
        </w:tc>
        <w:tc>
          <w:tcPr>
            <w:tcW w:w="1121" w:type="pct"/>
            <w:tcBorders>
              <w:tl2br w:val="nil"/>
              <w:tr2bl w:val="nil"/>
            </w:tcBorders>
            <w:tcMar>
              <w:top w:w="15" w:type="dxa"/>
              <w:left w:w="108" w:type="dxa"/>
              <w:bottom w:w="15" w:type="dxa"/>
              <w:right w:w="108" w:type="dxa"/>
            </w:tcMar>
            <w:vAlign w:val="center"/>
          </w:tcPr>
          <w:p w14:paraId="7DADF9FF">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14:paraId="522315C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0.00</w:t>
            </w:r>
          </w:p>
        </w:tc>
      </w:tr>
      <w:tr w14:paraId="372B814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0CC45A23">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3ACBFB0C">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北郊水厂</w:t>
            </w:r>
          </w:p>
        </w:tc>
        <w:tc>
          <w:tcPr>
            <w:tcW w:w="1121" w:type="pct"/>
            <w:tcBorders>
              <w:tl2br w:val="nil"/>
              <w:tr2bl w:val="nil"/>
            </w:tcBorders>
            <w:tcMar>
              <w:top w:w="15" w:type="dxa"/>
              <w:left w:w="108" w:type="dxa"/>
              <w:bottom w:w="15" w:type="dxa"/>
              <w:right w:w="108" w:type="dxa"/>
            </w:tcMar>
            <w:vAlign w:val="center"/>
          </w:tcPr>
          <w:p w14:paraId="055AD270">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14:paraId="19BB808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86.94</w:t>
            </w:r>
          </w:p>
        </w:tc>
      </w:tr>
      <w:tr w14:paraId="78A96831">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0648F6A5">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4C687829">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花溪水库</w:t>
            </w:r>
          </w:p>
        </w:tc>
        <w:tc>
          <w:tcPr>
            <w:tcW w:w="1121" w:type="pct"/>
            <w:tcBorders>
              <w:tl2br w:val="nil"/>
              <w:tr2bl w:val="nil"/>
            </w:tcBorders>
            <w:tcMar>
              <w:top w:w="15" w:type="dxa"/>
              <w:left w:w="108" w:type="dxa"/>
              <w:bottom w:w="15" w:type="dxa"/>
              <w:right w:w="108" w:type="dxa"/>
            </w:tcMar>
            <w:vAlign w:val="center"/>
          </w:tcPr>
          <w:p w14:paraId="0A5120AC">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14:paraId="6C1A611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0.30</w:t>
            </w:r>
          </w:p>
        </w:tc>
      </w:tr>
      <w:tr w14:paraId="3B874F2F">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5F2254ED">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57FBE38B">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鱼洞峡水库</w:t>
            </w:r>
          </w:p>
        </w:tc>
        <w:tc>
          <w:tcPr>
            <w:tcW w:w="1121" w:type="pct"/>
            <w:tcBorders>
              <w:tl2br w:val="nil"/>
              <w:tr2bl w:val="nil"/>
            </w:tcBorders>
            <w:tcMar>
              <w:top w:w="15" w:type="dxa"/>
              <w:left w:w="108" w:type="dxa"/>
              <w:bottom w:w="15" w:type="dxa"/>
              <w:right w:w="108" w:type="dxa"/>
            </w:tcMar>
            <w:vAlign w:val="center"/>
          </w:tcPr>
          <w:p w14:paraId="088481D3">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14:paraId="794401A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96.04</w:t>
            </w:r>
          </w:p>
        </w:tc>
      </w:tr>
      <w:tr w14:paraId="7756603E">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740D7B69">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1A8E5FCB">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阿哈水库</w:t>
            </w:r>
          </w:p>
        </w:tc>
        <w:tc>
          <w:tcPr>
            <w:tcW w:w="1121" w:type="pct"/>
            <w:tcBorders>
              <w:tl2br w:val="nil"/>
              <w:tr2bl w:val="nil"/>
            </w:tcBorders>
            <w:tcMar>
              <w:top w:w="15" w:type="dxa"/>
              <w:left w:w="108" w:type="dxa"/>
              <w:bottom w:w="15" w:type="dxa"/>
              <w:right w:w="108" w:type="dxa"/>
            </w:tcMar>
            <w:vAlign w:val="center"/>
          </w:tcPr>
          <w:p w14:paraId="13FA6CED">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贵阳市</w:t>
            </w:r>
          </w:p>
        </w:tc>
        <w:tc>
          <w:tcPr>
            <w:tcW w:w="1380" w:type="pct"/>
            <w:tcBorders>
              <w:tl2br w:val="nil"/>
              <w:tr2bl w:val="nil"/>
            </w:tcBorders>
            <w:tcMar>
              <w:top w:w="15" w:type="dxa"/>
              <w:left w:w="108" w:type="dxa"/>
              <w:bottom w:w="15" w:type="dxa"/>
              <w:right w:w="108" w:type="dxa"/>
            </w:tcMar>
            <w:vAlign w:val="center"/>
          </w:tcPr>
          <w:p w14:paraId="48D464A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90.75</w:t>
            </w:r>
          </w:p>
        </w:tc>
      </w:tr>
      <w:tr w14:paraId="759FC111">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7B0F1DEF">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174A5FBA">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洛江河</w:t>
            </w:r>
          </w:p>
        </w:tc>
        <w:tc>
          <w:tcPr>
            <w:tcW w:w="1121" w:type="pct"/>
            <w:tcBorders>
              <w:tl2br w:val="nil"/>
              <w:tr2bl w:val="nil"/>
            </w:tcBorders>
            <w:tcMar>
              <w:top w:w="15" w:type="dxa"/>
              <w:left w:w="108" w:type="dxa"/>
              <w:bottom w:w="15" w:type="dxa"/>
              <w:right w:w="108" w:type="dxa"/>
            </w:tcMar>
            <w:vAlign w:val="center"/>
          </w:tcPr>
          <w:p w14:paraId="6A0F8FA4">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遵义市</w:t>
            </w:r>
          </w:p>
        </w:tc>
        <w:tc>
          <w:tcPr>
            <w:tcW w:w="1380" w:type="pct"/>
            <w:tcBorders>
              <w:tl2br w:val="nil"/>
              <w:tr2bl w:val="nil"/>
            </w:tcBorders>
            <w:tcMar>
              <w:top w:w="15" w:type="dxa"/>
              <w:left w:w="108" w:type="dxa"/>
              <w:bottom w:w="15" w:type="dxa"/>
              <w:right w:w="108" w:type="dxa"/>
            </w:tcMar>
            <w:vAlign w:val="center"/>
          </w:tcPr>
          <w:p w14:paraId="2251A61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117.10</w:t>
            </w:r>
          </w:p>
        </w:tc>
      </w:tr>
      <w:tr w14:paraId="024ACFC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24EB9303">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22987937">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喇叭河</w:t>
            </w:r>
          </w:p>
        </w:tc>
        <w:tc>
          <w:tcPr>
            <w:tcW w:w="1121" w:type="pct"/>
            <w:tcBorders>
              <w:tl2br w:val="nil"/>
              <w:tr2bl w:val="nil"/>
            </w:tcBorders>
            <w:tcMar>
              <w:top w:w="15" w:type="dxa"/>
              <w:left w:w="108" w:type="dxa"/>
              <w:bottom w:w="15" w:type="dxa"/>
              <w:right w:w="108" w:type="dxa"/>
            </w:tcMar>
            <w:vAlign w:val="center"/>
          </w:tcPr>
          <w:p w14:paraId="6ACACE41">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遵义市</w:t>
            </w:r>
          </w:p>
        </w:tc>
        <w:tc>
          <w:tcPr>
            <w:tcW w:w="1380" w:type="pct"/>
            <w:tcBorders>
              <w:tl2br w:val="nil"/>
              <w:tr2bl w:val="nil"/>
            </w:tcBorders>
            <w:tcMar>
              <w:top w:w="15" w:type="dxa"/>
              <w:left w:w="108" w:type="dxa"/>
              <w:bottom w:w="15" w:type="dxa"/>
              <w:right w:w="108" w:type="dxa"/>
            </w:tcMar>
            <w:vAlign w:val="center"/>
          </w:tcPr>
          <w:p w14:paraId="0DCC198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65.77</w:t>
            </w:r>
          </w:p>
        </w:tc>
      </w:tr>
      <w:tr w14:paraId="6B74887B">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6A3F7978">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4804B9A2">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中桥水库</w:t>
            </w:r>
          </w:p>
        </w:tc>
        <w:tc>
          <w:tcPr>
            <w:tcW w:w="1121" w:type="pct"/>
            <w:tcBorders>
              <w:tl2br w:val="nil"/>
              <w:tr2bl w:val="nil"/>
            </w:tcBorders>
            <w:tcMar>
              <w:top w:w="15" w:type="dxa"/>
              <w:left w:w="108" w:type="dxa"/>
              <w:bottom w:w="15" w:type="dxa"/>
              <w:right w:w="108" w:type="dxa"/>
            </w:tcMar>
            <w:vAlign w:val="center"/>
          </w:tcPr>
          <w:p w14:paraId="0AA8D084">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遵义市</w:t>
            </w:r>
          </w:p>
        </w:tc>
        <w:tc>
          <w:tcPr>
            <w:tcW w:w="1380" w:type="pct"/>
            <w:tcBorders>
              <w:tl2br w:val="nil"/>
              <w:tr2bl w:val="nil"/>
            </w:tcBorders>
            <w:tcMar>
              <w:top w:w="15" w:type="dxa"/>
              <w:left w:w="108" w:type="dxa"/>
              <w:bottom w:w="15" w:type="dxa"/>
              <w:right w:w="108" w:type="dxa"/>
            </w:tcMar>
            <w:vAlign w:val="center"/>
          </w:tcPr>
          <w:p w14:paraId="290F27C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56.97</w:t>
            </w:r>
          </w:p>
        </w:tc>
      </w:tr>
      <w:tr w14:paraId="14E4EBC9">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2A1CB900">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221F731F">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龙贵地水库</w:t>
            </w:r>
          </w:p>
        </w:tc>
        <w:tc>
          <w:tcPr>
            <w:tcW w:w="1121" w:type="pct"/>
            <w:tcBorders>
              <w:tl2br w:val="nil"/>
              <w:tr2bl w:val="nil"/>
            </w:tcBorders>
            <w:tcMar>
              <w:top w:w="15" w:type="dxa"/>
              <w:left w:w="108" w:type="dxa"/>
              <w:bottom w:w="15" w:type="dxa"/>
              <w:right w:w="108" w:type="dxa"/>
            </w:tcMar>
            <w:vAlign w:val="center"/>
          </w:tcPr>
          <w:p w14:paraId="5BFDF67E">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六盘水</w:t>
            </w:r>
          </w:p>
        </w:tc>
        <w:tc>
          <w:tcPr>
            <w:tcW w:w="1380" w:type="pct"/>
            <w:tcBorders>
              <w:tl2br w:val="nil"/>
              <w:tr2bl w:val="nil"/>
            </w:tcBorders>
            <w:tcMar>
              <w:top w:w="15" w:type="dxa"/>
              <w:left w:w="108" w:type="dxa"/>
              <w:bottom w:w="15" w:type="dxa"/>
              <w:right w:w="108" w:type="dxa"/>
            </w:tcMar>
            <w:vAlign w:val="center"/>
          </w:tcPr>
          <w:p w14:paraId="0AB47A5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2.35</w:t>
            </w:r>
          </w:p>
        </w:tc>
      </w:tr>
      <w:tr w14:paraId="0DA8B049">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493B353E">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36FB0B87">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玉舍水库</w:t>
            </w:r>
          </w:p>
        </w:tc>
        <w:tc>
          <w:tcPr>
            <w:tcW w:w="1121" w:type="pct"/>
            <w:tcBorders>
              <w:tl2br w:val="nil"/>
              <w:tr2bl w:val="nil"/>
            </w:tcBorders>
            <w:tcMar>
              <w:top w:w="15" w:type="dxa"/>
              <w:left w:w="108" w:type="dxa"/>
              <w:bottom w:w="15" w:type="dxa"/>
              <w:right w:w="108" w:type="dxa"/>
            </w:tcMar>
            <w:vAlign w:val="center"/>
          </w:tcPr>
          <w:p w14:paraId="149A7DB1">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六盘水</w:t>
            </w:r>
          </w:p>
        </w:tc>
        <w:tc>
          <w:tcPr>
            <w:tcW w:w="1380" w:type="pct"/>
            <w:tcBorders>
              <w:tl2br w:val="nil"/>
              <w:tr2bl w:val="nil"/>
            </w:tcBorders>
            <w:tcMar>
              <w:top w:w="15" w:type="dxa"/>
              <w:left w:w="108" w:type="dxa"/>
              <w:bottom w:w="15" w:type="dxa"/>
              <w:right w:w="108" w:type="dxa"/>
            </w:tcMar>
            <w:vAlign w:val="center"/>
          </w:tcPr>
          <w:p w14:paraId="5D7A44E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109.65</w:t>
            </w:r>
          </w:p>
        </w:tc>
      </w:tr>
      <w:tr w14:paraId="09FCEFBE">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5C345789">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509A164F">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阿勒河（双桥水库）</w:t>
            </w:r>
          </w:p>
        </w:tc>
        <w:tc>
          <w:tcPr>
            <w:tcW w:w="1121" w:type="pct"/>
            <w:tcBorders>
              <w:tl2br w:val="nil"/>
              <w:tr2bl w:val="nil"/>
            </w:tcBorders>
            <w:tcMar>
              <w:top w:w="15" w:type="dxa"/>
              <w:left w:w="108" w:type="dxa"/>
              <w:bottom w:w="15" w:type="dxa"/>
              <w:right w:w="108" w:type="dxa"/>
            </w:tcMar>
            <w:vAlign w:val="center"/>
          </w:tcPr>
          <w:p w14:paraId="664AC554">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六盘水</w:t>
            </w:r>
          </w:p>
        </w:tc>
        <w:tc>
          <w:tcPr>
            <w:tcW w:w="1380" w:type="pct"/>
            <w:tcBorders>
              <w:tl2br w:val="nil"/>
              <w:tr2bl w:val="nil"/>
            </w:tcBorders>
            <w:tcMar>
              <w:top w:w="15" w:type="dxa"/>
              <w:left w:w="108" w:type="dxa"/>
              <w:bottom w:w="15" w:type="dxa"/>
              <w:right w:w="108" w:type="dxa"/>
            </w:tcMar>
            <w:vAlign w:val="center"/>
          </w:tcPr>
          <w:p w14:paraId="04DBD10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130.08</w:t>
            </w:r>
          </w:p>
        </w:tc>
      </w:tr>
      <w:tr w14:paraId="7509FDBC">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541DEF7B">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12B397A3">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夜郎湖</w:t>
            </w:r>
          </w:p>
        </w:tc>
        <w:tc>
          <w:tcPr>
            <w:tcW w:w="1121" w:type="pct"/>
            <w:tcBorders>
              <w:tl2br w:val="nil"/>
              <w:tr2bl w:val="nil"/>
            </w:tcBorders>
            <w:tcMar>
              <w:top w:w="15" w:type="dxa"/>
              <w:left w:w="108" w:type="dxa"/>
              <w:bottom w:w="15" w:type="dxa"/>
              <w:right w:w="108" w:type="dxa"/>
            </w:tcMar>
            <w:vAlign w:val="center"/>
          </w:tcPr>
          <w:p w14:paraId="6A801BD2">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安顺市</w:t>
            </w:r>
          </w:p>
        </w:tc>
        <w:tc>
          <w:tcPr>
            <w:tcW w:w="1380" w:type="pct"/>
            <w:tcBorders>
              <w:tl2br w:val="nil"/>
              <w:tr2bl w:val="nil"/>
            </w:tcBorders>
            <w:tcMar>
              <w:top w:w="15" w:type="dxa"/>
              <w:left w:w="108" w:type="dxa"/>
              <w:bottom w:w="15" w:type="dxa"/>
              <w:right w:w="108" w:type="dxa"/>
            </w:tcMar>
            <w:vAlign w:val="center"/>
          </w:tcPr>
          <w:p w14:paraId="2905F4A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186.35</w:t>
            </w:r>
          </w:p>
        </w:tc>
      </w:tr>
      <w:tr w14:paraId="79D73031">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20D2E9E4">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1DDCB593">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桂家湖水库</w:t>
            </w:r>
          </w:p>
        </w:tc>
        <w:tc>
          <w:tcPr>
            <w:tcW w:w="1121" w:type="pct"/>
            <w:tcBorders>
              <w:tl2br w:val="nil"/>
              <w:tr2bl w:val="nil"/>
            </w:tcBorders>
            <w:tcMar>
              <w:top w:w="15" w:type="dxa"/>
              <w:left w:w="108" w:type="dxa"/>
              <w:bottom w:w="15" w:type="dxa"/>
              <w:right w:w="108" w:type="dxa"/>
            </w:tcMar>
            <w:vAlign w:val="center"/>
          </w:tcPr>
          <w:p w14:paraId="3CD6A4EE">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镇宁县</w:t>
            </w:r>
          </w:p>
        </w:tc>
        <w:tc>
          <w:tcPr>
            <w:tcW w:w="1380" w:type="pct"/>
            <w:tcBorders>
              <w:tl2br w:val="nil"/>
              <w:tr2bl w:val="nil"/>
            </w:tcBorders>
            <w:tcMar>
              <w:top w:w="15" w:type="dxa"/>
              <w:left w:w="108" w:type="dxa"/>
              <w:bottom w:w="15" w:type="dxa"/>
              <w:right w:w="108" w:type="dxa"/>
            </w:tcMar>
            <w:vAlign w:val="center"/>
          </w:tcPr>
          <w:p w14:paraId="429FAC0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42.86</w:t>
            </w:r>
          </w:p>
        </w:tc>
      </w:tr>
      <w:tr w14:paraId="461A1E7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6D322348">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14:paraId="160270DB">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倒天河水库</w:t>
            </w:r>
          </w:p>
        </w:tc>
        <w:tc>
          <w:tcPr>
            <w:tcW w:w="1121" w:type="pct"/>
            <w:tcBorders>
              <w:tl2br w:val="nil"/>
              <w:tr2bl w:val="nil"/>
            </w:tcBorders>
            <w:tcMar>
              <w:top w:w="15" w:type="dxa"/>
              <w:left w:w="108" w:type="dxa"/>
              <w:bottom w:w="15" w:type="dxa"/>
              <w:right w:w="108" w:type="dxa"/>
            </w:tcMar>
            <w:vAlign w:val="center"/>
          </w:tcPr>
          <w:p w14:paraId="6252E867">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毕节市</w:t>
            </w:r>
          </w:p>
        </w:tc>
        <w:tc>
          <w:tcPr>
            <w:tcW w:w="1380" w:type="pct"/>
            <w:tcBorders>
              <w:tl2br w:val="nil"/>
              <w:tr2bl w:val="nil"/>
            </w:tcBorders>
            <w:tcMar>
              <w:top w:w="15" w:type="dxa"/>
              <w:left w:w="108" w:type="dxa"/>
              <w:bottom w:w="15" w:type="dxa"/>
              <w:right w:w="108" w:type="dxa"/>
            </w:tcMar>
            <w:vAlign w:val="center"/>
          </w:tcPr>
          <w:p w14:paraId="27A6EE6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96.90</w:t>
            </w:r>
          </w:p>
        </w:tc>
      </w:tr>
      <w:tr w14:paraId="6CE9197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0BC31B10">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14:paraId="76BEF03C">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利民水库</w:t>
            </w:r>
          </w:p>
        </w:tc>
        <w:tc>
          <w:tcPr>
            <w:tcW w:w="1121" w:type="pct"/>
            <w:tcBorders>
              <w:tl2br w:val="nil"/>
              <w:tr2bl w:val="nil"/>
            </w:tcBorders>
            <w:tcMar>
              <w:top w:w="15" w:type="dxa"/>
              <w:left w:w="108" w:type="dxa"/>
              <w:bottom w:w="15" w:type="dxa"/>
              <w:right w:w="108" w:type="dxa"/>
            </w:tcMar>
            <w:vAlign w:val="center"/>
          </w:tcPr>
          <w:p w14:paraId="7A143B69">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毕节市</w:t>
            </w:r>
          </w:p>
        </w:tc>
        <w:tc>
          <w:tcPr>
            <w:tcW w:w="1380" w:type="pct"/>
            <w:tcBorders>
              <w:tl2br w:val="nil"/>
              <w:tr2bl w:val="nil"/>
            </w:tcBorders>
            <w:tcMar>
              <w:top w:w="15" w:type="dxa"/>
              <w:left w:w="108" w:type="dxa"/>
              <w:bottom w:w="15" w:type="dxa"/>
              <w:right w:w="108" w:type="dxa"/>
            </w:tcMar>
            <w:vAlign w:val="center"/>
          </w:tcPr>
          <w:p w14:paraId="1AD8772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4"/>
                <w:szCs w:val="24"/>
                <w:u w:val="none"/>
                <w:lang w:val="en-US" w:eastAsia="zh-CN" w:bidi="ar-SA"/>
              </w:rPr>
            </w:pPr>
            <w:r>
              <w:rPr>
                <w:rFonts w:hint="default" w:ascii="Times New Roman" w:hAnsi="Times New Roman" w:cs="Times New Roman" w:eastAsiaTheme="minorEastAsia"/>
                <w:i w:val="0"/>
                <w:iCs w:val="0"/>
                <w:color w:val="auto"/>
                <w:kern w:val="0"/>
                <w:sz w:val="24"/>
                <w:szCs w:val="24"/>
                <w:u w:val="none"/>
                <w:lang w:val="en-US" w:eastAsia="zh-CN" w:bidi="ar"/>
              </w:rPr>
              <w:t>19.13</w:t>
            </w:r>
          </w:p>
        </w:tc>
      </w:tr>
      <w:tr w14:paraId="2C28418B">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01B7101D">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14:paraId="4DBB8A46">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龙官桥水库</w:t>
            </w:r>
          </w:p>
        </w:tc>
        <w:tc>
          <w:tcPr>
            <w:tcW w:w="1121" w:type="pct"/>
            <w:tcBorders>
              <w:tl2br w:val="nil"/>
              <w:tr2bl w:val="nil"/>
            </w:tcBorders>
            <w:tcMar>
              <w:top w:w="15" w:type="dxa"/>
              <w:left w:w="108" w:type="dxa"/>
              <w:bottom w:w="15" w:type="dxa"/>
              <w:right w:w="108" w:type="dxa"/>
            </w:tcMar>
            <w:vAlign w:val="center"/>
          </w:tcPr>
          <w:p w14:paraId="09F14CE3">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毕节市</w:t>
            </w:r>
          </w:p>
        </w:tc>
        <w:tc>
          <w:tcPr>
            <w:tcW w:w="1380" w:type="pct"/>
            <w:tcBorders>
              <w:tl2br w:val="nil"/>
              <w:tr2bl w:val="nil"/>
            </w:tcBorders>
            <w:tcMar>
              <w:top w:w="15" w:type="dxa"/>
              <w:left w:w="108" w:type="dxa"/>
              <w:bottom w:w="15" w:type="dxa"/>
              <w:right w:w="108" w:type="dxa"/>
            </w:tcMar>
            <w:vAlign w:val="center"/>
          </w:tcPr>
          <w:p w14:paraId="7FA38CF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31.53</w:t>
            </w:r>
          </w:p>
        </w:tc>
      </w:tr>
      <w:tr w14:paraId="27E464AB">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667960BE">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14:paraId="14CDDA49">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鹭鸶岩</w:t>
            </w:r>
          </w:p>
        </w:tc>
        <w:tc>
          <w:tcPr>
            <w:tcW w:w="1121" w:type="pct"/>
            <w:tcBorders>
              <w:tl2br w:val="nil"/>
              <w:tr2bl w:val="nil"/>
            </w:tcBorders>
            <w:tcMar>
              <w:top w:w="15" w:type="dxa"/>
              <w:left w:w="108" w:type="dxa"/>
              <w:bottom w:w="15" w:type="dxa"/>
              <w:right w:w="108" w:type="dxa"/>
            </w:tcMar>
            <w:vAlign w:val="center"/>
          </w:tcPr>
          <w:p w14:paraId="7AF5CB18">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铜仁市</w:t>
            </w:r>
          </w:p>
        </w:tc>
        <w:tc>
          <w:tcPr>
            <w:tcW w:w="1380" w:type="pct"/>
            <w:tcBorders>
              <w:tl2br w:val="nil"/>
              <w:tr2bl w:val="nil"/>
            </w:tcBorders>
            <w:tcMar>
              <w:top w:w="15" w:type="dxa"/>
              <w:left w:w="108" w:type="dxa"/>
              <w:bottom w:w="15" w:type="dxa"/>
              <w:right w:w="108" w:type="dxa"/>
            </w:tcMar>
            <w:vAlign w:val="center"/>
          </w:tcPr>
          <w:p w14:paraId="7CEEA63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23.43</w:t>
            </w:r>
          </w:p>
        </w:tc>
      </w:tr>
      <w:tr w14:paraId="1FAB8FDB">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703698F8">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14:paraId="0E03FFD3">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两河口</w:t>
            </w:r>
          </w:p>
        </w:tc>
        <w:tc>
          <w:tcPr>
            <w:tcW w:w="1121" w:type="pct"/>
            <w:tcBorders>
              <w:tl2br w:val="nil"/>
              <w:tr2bl w:val="nil"/>
            </w:tcBorders>
            <w:tcMar>
              <w:top w:w="15" w:type="dxa"/>
              <w:left w:w="108" w:type="dxa"/>
              <w:bottom w:w="15" w:type="dxa"/>
              <w:right w:w="108" w:type="dxa"/>
            </w:tcMar>
            <w:vAlign w:val="center"/>
          </w:tcPr>
          <w:p w14:paraId="064E4112">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铜仁市</w:t>
            </w:r>
          </w:p>
        </w:tc>
        <w:tc>
          <w:tcPr>
            <w:tcW w:w="1380" w:type="pct"/>
            <w:tcBorders>
              <w:tl2br w:val="nil"/>
              <w:tr2bl w:val="nil"/>
            </w:tcBorders>
            <w:tcMar>
              <w:top w:w="15" w:type="dxa"/>
              <w:left w:w="108" w:type="dxa"/>
              <w:bottom w:w="15" w:type="dxa"/>
              <w:right w:w="108" w:type="dxa"/>
            </w:tcMar>
            <w:vAlign w:val="center"/>
          </w:tcPr>
          <w:p w14:paraId="00A9EB7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4.19</w:t>
            </w:r>
          </w:p>
        </w:tc>
      </w:tr>
      <w:tr w14:paraId="42E7FC36">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194833D1">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14:paraId="5E7EF152">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茶园水库</w:t>
            </w:r>
          </w:p>
        </w:tc>
        <w:tc>
          <w:tcPr>
            <w:tcW w:w="1121" w:type="pct"/>
            <w:tcBorders>
              <w:tl2br w:val="nil"/>
              <w:tr2bl w:val="nil"/>
            </w:tcBorders>
            <w:tcMar>
              <w:top w:w="15" w:type="dxa"/>
              <w:left w:w="108" w:type="dxa"/>
              <w:bottom w:w="15" w:type="dxa"/>
              <w:right w:w="108" w:type="dxa"/>
            </w:tcMar>
            <w:vAlign w:val="center"/>
          </w:tcPr>
          <w:p w14:paraId="27C20FB2">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都匀市</w:t>
            </w:r>
          </w:p>
        </w:tc>
        <w:tc>
          <w:tcPr>
            <w:tcW w:w="1380" w:type="pct"/>
            <w:tcBorders>
              <w:tl2br w:val="nil"/>
              <w:tr2bl w:val="nil"/>
            </w:tcBorders>
            <w:tcMar>
              <w:top w:w="15" w:type="dxa"/>
              <w:left w:w="108" w:type="dxa"/>
              <w:bottom w:w="15" w:type="dxa"/>
              <w:right w:w="108" w:type="dxa"/>
            </w:tcMar>
            <w:vAlign w:val="center"/>
          </w:tcPr>
          <w:p w14:paraId="639B202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43.90</w:t>
            </w:r>
          </w:p>
        </w:tc>
      </w:tr>
      <w:tr w14:paraId="1F0F260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79812B7D">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14:paraId="483D74A0">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大河水库</w:t>
            </w:r>
          </w:p>
        </w:tc>
        <w:tc>
          <w:tcPr>
            <w:tcW w:w="1121" w:type="pct"/>
            <w:tcBorders>
              <w:tl2br w:val="nil"/>
              <w:tr2bl w:val="nil"/>
            </w:tcBorders>
            <w:tcMar>
              <w:top w:w="15" w:type="dxa"/>
              <w:left w:w="108" w:type="dxa"/>
              <w:bottom w:w="15" w:type="dxa"/>
              <w:right w:w="108" w:type="dxa"/>
            </w:tcMar>
            <w:vAlign w:val="center"/>
          </w:tcPr>
          <w:p w14:paraId="00AC7832">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都匀市</w:t>
            </w:r>
          </w:p>
        </w:tc>
        <w:tc>
          <w:tcPr>
            <w:tcW w:w="1380" w:type="pct"/>
            <w:tcBorders>
              <w:tl2br w:val="nil"/>
              <w:tr2bl w:val="nil"/>
            </w:tcBorders>
            <w:tcMar>
              <w:top w:w="15" w:type="dxa"/>
              <w:left w:w="108" w:type="dxa"/>
              <w:bottom w:w="15" w:type="dxa"/>
              <w:right w:w="108" w:type="dxa"/>
            </w:tcMar>
            <w:vAlign w:val="center"/>
          </w:tcPr>
          <w:p w14:paraId="3EF7F78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13.80</w:t>
            </w:r>
          </w:p>
        </w:tc>
      </w:tr>
      <w:tr w14:paraId="383CF46F">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11F90DFB">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14:paraId="3435DAB5">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龙井水厂</w:t>
            </w:r>
          </w:p>
        </w:tc>
        <w:tc>
          <w:tcPr>
            <w:tcW w:w="1121" w:type="pct"/>
            <w:tcBorders>
              <w:tl2br w:val="nil"/>
              <w:tr2bl w:val="nil"/>
            </w:tcBorders>
            <w:tcMar>
              <w:top w:w="15" w:type="dxa"/>
              <w:left w:w="108" w:type="dxa"/>
              <w:bottom w:w="15" w:type="dxa"/>
              <w:right w:w="108" w:type="dxa"/>
            </w:tcMar>
            <w:vAlign w:val="center"/>
          </w:tcPr>
          <w:p w14:paraId="6004CA73">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凯里市</w:t>
            </w:r>
          </w:p>
        </w:tc>
        <w:tc>
          <w:tcPr>
            <w:tcW w:w="1380" w:type="pct"/>
            <w:tcBorders>
              <w:tl2br w:val="nil"/>
              <w:tr2bl w:val="nil"/>
            </w:tcBorders>
            <w:tcMar>
              <w:top w:w="15" w:type="dxa"/>
              <w:left w:w="108" w:type="dxa"/>
              <w:bottom w:w="15" w:type="dxa"/>
              <w:right w:w="108" w:type="dxa"/>
            </w:tcMar>
            <w:vAlign w:val="center"/>
          </w:tcPr>
          <w:p w14:paraId="566C45D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4"/>
                <w:szCs w:val="24"/>
                <w:u w:val="none"/>
                <w:lang w:val="en-US" w:eastAsia="zh-CN" w:bidi="ar-SA"/>
              </w:rPr>
            </w:pPr>
            <w:r>
              <w:rPr>
                <w:rFonts w:hint="default" w:ascii="Times New Roman" w:hAnsi="Times New Roman" w:cs="Times New Roman" w:eastAsiaTheme="minorEastAsia"/>
                <w:i w:val="0"/>
                <w:iCs w:val="0"/>
                <w:color w:val="auto"/>
                <w:kern w:val="0"/>
                <w:sz w:val="24"/>
                <w:szCs w:val="24"/>
                <w:u w:val="none"/>
                <w:lang w:val="en-US" w:eastAsia="zh-CN" w:bidi="ar"/>
              </w:rPr>
              <w:t>0.01</w:t>
            </w:r>
          </w:p>
        </w:tc>
      </w:tr>
      <w:tr w14:paraId="788038A2">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2DBD1F40">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14:paraId="3180316D">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金泉湖水厂</w:t>
            </w:r>
          </w:p>
        </w:tc>
        <w:tc>
          <w:tcPr>
            <w:tcW w:w="1121" w:type="pct"/>
            <w:tcBorders>
              <w:tl2br w:val="nil"/>
              <w:tr2bl w:val="nil"/>
            </w:tcBorders>
            <w:tcMar>
              <w:top w:w="15" w:type="dxa"/>
              <w:left w:w="108" w:type="dxa"/>
              <w:bottom w:w="15" w:type="dxa"/>
              <w:right w:w="108" w:type="dxa"/>
            </w:tcMar>
            <w:vAlign w:val="center"/>
          </w:tcPr>
          <w:p w14:paraId="5646122B">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凯里市</w:t>
            </w:r>
          </w:p>
        </w:tc>
        <w:tc>
          <w:tcPr>
            <w:tcW w:w="1380" w:type="pct"/>
            <w:tcBorders>
              <w:tl2br w:val="nil"/>
              <w:tr2bl w:val="nil"/>
            </w:tcBorders>
            <w:tcMar>
              <w:top w:w="15" w:type="dxa"/>
              <w:left w:w="108" w:type="dxa"/>
              <w:bottom w:w="15" w:type="dxa"/>
              <w:right w:w="108" w:type="dxa"/>
            </w:tcMar>
            <w:vAlign w:val="center"/>
          </w:tcPr>
          <w:p w14:paraId="1CD70C4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33.96</w:t>
            </w:r>
          </w:p>
        </w:tc>
      </w:tr>
      <w:tr w14:paraId="2EE562E7">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4CE458AA">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14:paraId="5F66CB23">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上寨水库</w:t>
            </w:r>
          </w:p>
        </w:tc>
        <w:tc>
          <w:tcPr>
            <w:tcW w:w="1121" w:type="pct"/>
            <w:tcBorders>
              <w:tl2br w:val="nil"/>
              <w:tr2bl w:val="nil"/>
            </w:tcBorders>
            <w:tcMar>
              <w:top w:w="15" w:type="dxa"/>
              <w:left w:w="108" w:type="dxa"/>
              <w:bottom w:w="15" w:type="dxa"/>
              <w:right w:w="108" w:type="dxa"/>
            </w:tcMar>
            <w:vAlign w:val="center"/>
          </w:tcPr>
          <w:p w14:paraId="0182D29C">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凯里市</w:t>
            </w:r>
          </w:p>
        </w:tc>
        <w:tc>
          <w:tcPr>
            <w:tcW w:w="1380" w:type="pct"/>
            <w:tcBorders>
              <w:tl2br w:val="nil"/>
              <w:tr2bl w:val="nil"/>
            </w:tcBorders>
            <w:tcMar>
              <w:top w:w="15" w:type="dxa"/>
              <w:left w:w="108" w:type="dxa"/>
              <w:bottom w:w="15" w:type="dxa"/>
              <w:right w:w="108" w:type="dxa"/>
            </w:tcMar>
            <w:vAlign w:val="center"/>
          </w:tcPr>
          <w:p w14:paraId="545AAFB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6.940</w:t>
            </w:r>
          </w:p>
        </w:tc>
      </w:tr>
      <w:tr w14:paraId="4D15A555">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26BC9CEC">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543" w:type="pct"/>
            <w:tcBorders>
              <w:tl2br w:val="nil"/>
              <w:tr2bl w:val="nil"/>
            </w:tcBorders>
            <w:tcMar>
              <w:top w:w="15" w:type="dxa"/>
              <w:left w:w="108" w:type="dxa"/>
              <w:bottom w:w="15" w:type="dxa"/>
              <w:right w:w="108" w:type="dxa"/>
            </w:tcMar>
            <w:vAlign w:val="center"/>
          </w:tcPr>
          <w:p w14:paraId="582F31BF">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兴西湖水库</w:t>
            </w:r>
          </w:p>
        </w:tc>
        <w:tc>
          <w:tcPr>
            <w:tcW w:w="1121" w:type="pct"/>
            <w:tcBorders>
              <w:tl2br w:val="nil"/>
              <w:tr2bl w:val="nil"/>
            </w:tcBorders>
            <w:tcMar>
              <w:top w:w="15" w:type="dxa"/>
              <w:left w:w="108" w:type="dxa"/>
              <w:bottom w:w="15" w:type="dxa"/>
              <w:right w:w="108" w:type="dxa"/>
            </w:tcMar>
            <w:vAlign w:val="center"/>
          </w:tcPr>
          <w:p w14:paraId="67188B46">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兴义市</w:t>
            </w:r>
          </w:p>
        </w:tc>
        <w:tc>
          <w:tcPr>
            <w:tcW w:w="1380" w:type="pct"/>
            <w:tcBorders>
              <w:tl2br w:val="nil"/>
              <w:tr2bl w:val="nil"/>
            </w:tcBorders>
            <w:tcMar>
              <w:top w:w="15" w:type="dxa"/>
              <w:left w:w="108" w:type="dxa"/>
              <w:bottom w:w="15" w:type="dxa"/>
              <w:right w:w="108" w:type="dxa"/>
            </w:tcMar>
            <w:vAlign w:val="center"/>
          </w:tcPr>
          <w:p w14:paraId="1A285B5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17.00</w:t>
            </w:r>
          </w:p>
        </w:tc>
      </w:tr>
      <w:tr w14:paraId="7A8E7927">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2139B37A">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1BCB90B0">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木浪河水库</w:t>
            </w:r>
          </w:p>
        </w:tc>
        <w:tc>
          <w:tcPr>
            <w:tcW w:w="1121" w:type="pct"/>
            <w:tcBorders>
              <w:tl2br w:val="nil"/>
              <w:tr2bl w:val="nil"/>
            </w:tcBorders>
            <w:tcMar>
              <w:top w:w="15" w:type="dxa"/>
              <w:left w:w="108" w:type="dxa"/>
              <w:bottom w:w="15" w:type="dxa"/>
              <w:right w:w="108" w:type="dxa"/>
            </w:tcMar>
            <w:vAlign w:val="center"/>
          </w:tcPr>
          <w:p w14:paraId="222A5B2D">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兴义市</w:t>
            </w:r>
          </w:p>
        </w:tc>
        <w:tc>
          <w:tcPr>
            <w:tcW w:w="1380" w:type="pct"/>
            <w:tcBorders>
              <w:tl2br w:val="nil"/>
              <w:tr2bl w:val="nil"/>
            </w:tcBorders>
            <w:tcMar>
              <w:top w:w="15" w:type="dxa"/>
              <w:left w:w="108" w:type="dxa"/>
              <w:bottom w:w="15" w:type="dxa"/>
              <w:right w:w="108" w:type="dxa"/>
            </w:tcMar>
            <w:vAlign w:val="center"/>
          </w:tcPr>
          <w:p w14:paraId="4A35BB2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105.70</w:t>
            </w:r>
          </w:p>
        </w:tc>
      </w:tr>
      <w:tr w14:paraId="4219F42F">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vMerge w:val="continue"/>
            <w:tcBorders>
              <w:tl2br w:val="nil"/>
              <w:tr2bl w:val="nil"/>
            </w:tcBorders>
            <w:vAlign w:val="center"/>
          </w:tcPr>
          <w:p w14:paraId="0BFDAC3E">
            <w:pPr>
              <w:adjustRightInd w:val="0"/>
              <w:snapToGrid w:val="0"/>
              <w:spacing w:after="0" w:line="240" w:lineRule="atLeast"/>
              <w:jc w:val="center"/>
              <w:rPr>
                <w:rFonts w:hint="default" w:ascii="Times New Roman" w:hAnsi="Times New Roman" w:cs="Times New Roman" w:eastAsiaTheme="minorEastAsia"/>
                <w:color w:val="auto"/>
                <w:kern w:val="2"/>
                <w:sz w:val="24"/>
                <w:szCs w:val="24"/>
              </w:rPr>
            </w:pPr>
          </w:p>
        </w:tc>
        <w:tc>
          <w:tcPr>
            <w:tcW w:w="1543" w:type="pct"/>
            <w:tcBorders>
              <w:tl2br w:val="nil"/>
              <w:tr2bl w:val="nil"/>
            </w:tcBorders>
            <w:tcMar>
              <w:top w:w="15" w:type="dxa"/>
              <w:left w:w="108" w:type="dxa"/>
              <w:bottom w:w="15" w:type="dxa"/>
              <w:right w:w="108" w:type="dxa"/>
            </w:tcMar>
            <w:vAlign w:val="center"/>
          </w:tcPr>
          <w:p w14:paraId="10DCD2A0">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color w:val="auto"/>
                <w:kern w:val="2"/>
                <w:sz w:val="24"/>
                <w:szCs w:val="24"/>
                <w:lang w:val="en-US" w:eastAsia="zh-CN"/>
              </w:rPr>
              <w:t>围山湖水库</w:t>
            </w:r>
          </w:p>
        </w:tc>
        <w:tc>
          <w:tcPr>
            <w:tcW w:w="1121" w:type="pct"/>
            <w:tcBorders>
              <w:tl2br w:val="nil"/>
              <w:tr2bl w:val="nil"/>
            </w:tcBorders>
            <w:tcMar>
              <w:top w:w="15" w:type="dxa"/>
              <w:left w:w="108" w:type="dxa"/>
              <w:bottom w:w="15" w:type="dxa"/>
              <w:right w:w="108" w:type="dxa"/>
            </w:tcMar>
            <w:vAlign w:val="center"/>
          </w:tcPr>
          <w:p w14:paraId="5E46862A">
            <w:pPr>
              <w:keepNext w:val="0"/>
              <w:keepLines w:val="0"/>
              <w:widowControl/>
              <w:suppressLineNumbers w:val="0"/>
              <w:jc w:val="center"/>
              <w:textAlignment w:val="center"/>
              <w:rPr>
                <w:rFonts w:hint="default" w:ascii="Times New Roman" w:hAnsi="Times New Roman" w:cs="Times New Roman" w:eastAsiaTheme="minorEastAsia"/>
                <w:color w:val="auto"/>
                <w:kern w:val="2"/>
                <w:sz w:val="24"/>
                <w:szCs w:val="24"/>
                <w:lang w:val="en-US" w:eastAsia="zh-CN"/>
              </w:rPr>
            </w:pPr>
            <w:r>
              <w:rPr>
                <w:rFonts w:hint="default" w:ascii="Times New Roman" w:hAnsi="Times New Roman" w:cs="Times New Roman" w:eastAsiaTheme="minorEastAsia"/>
                <w:i w:val="0"/>
                <w:iCs w:val="0"/>
                <w:color w:val="auto"/>
                <w:kern w:val="0"/>
                <w:sz w:val="24"/>
                <w:szCs w:val="24"/>
                <w:u w:val="none"/>
                <w:lang w:val="en-US" w:eastAsia="zh-CN" w:bidi="ar"/>
              </w:rPr>
              <w:t>兴义市</w:t>
            </w:r>
          </w:p>
        </w:tc>
        <w:tc>
          <w:tcPr>
            <w:tcW w:w="1380" w:type="pct"/>
            <w:tcBorders>
              <w:tl2br w:val="nil"/>
              <w:tr2bl w:val="nil"/>
            </w:tcBorders>
            <w:tcMar>
              <w:top w:w="15" w:type="dxa"/>
              <w:left w:w="108" w:type="dxa"/>
              <w:bottom w:w="15" w:type="dxa"/>
              <w:right w:w="108" w:type="dxa"/>
            </w:tcMar>
            <w:vAlign w:val="center"/>
          </w:tcPr>
          <w:p w14:paraId="3B00EF6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26.00</w:t>
            </w:r>
          </w:p>
        </w:tc>
      </w:tr>
      <w:tr w14:paraId="604E71A9">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0" w:hRule="atLeast"/>
          <w:tblHeader/>
        </w:trPr>
        <w:tc>
          <w:tcPr>
            <w:tcW w:w="954" w:type="pct"/>
            <w:tcBorders>
              <w:tl2br w:val="nil"/>
              <w:tr2bl w:val="nil"/>
            </w:tcBorders>
            <w:vAlign w:val="center"/>
          </w:tcPr>
          <w:p w14:paraId="72AEBF40">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bookmarkStart w:id="136" w:name="_Toc27638"/>
            <w:r>
              <w:rPr>
                <w:rFonts w:hint="default" w:ascii="Times New Roman" w:hAnsi="Times New Roman" w:cs="Times New Roman" w:eastAsiaTheme="minorEastAsia"/>
                <w:color w:val="auto"/>
                <w:kern w:val="2"/>
                <w:sz w:val="24"/>
                <w:szCs w:val="24"/>
                <w:lang w:val="en-US" w:eastAsia="zh-CN"/>
              </w:rPr>
              <w:t>合计</w:t>
            </w:r>
          </w:p>
        </w:tc>
        <w:tc>
          <w:tcPr>
            <w:tcW w:w="1543" w:type="pct"/>
            <w:tcBorders>
              <w:tl2br w:val="nil"/>
              <w:tr2bl w:val="nil"/>
            </w:tcBorders>
            <w:tcMar>
              <w:top w:w="15" w:type="dxa"/>
              <w:left w:w="108" w:type="dxa"/>
              <w:bottom w:w="15" w:type="dxa"/>
              <w:right w:w="108" w:type="dxa"/>
            </w:tcMar>
            <w:vAlign w:val="center"/>
          </w:tcPr>
          <w:p w14:paraId="0517063C">
            <w:pPr>
              <w:adjustRightInd w:val="0"/>
              <w:snapToGrid w:val="0"/>
              <w:spacing w:after="0" w:line="240" w:lineRule="atLeast"/>
              <w:jc w:val="center"/>
              <w:rPr>
                <w:rFonts w:hint="default" w:ascii="Times New Roman" w:hAnsi="Times New Roman" w:cs="Times New Roman" w:eastAsiaTheme="minorEastAsia"/>
                <w:color w:val="auto"/>
                <w:kern w:val="2"/>
                <w:sz w:val="24"/>
                <w:szCs w:val="24"/>
                <w:lang w:val="en-US" w:eastAsia="zh-CN"/>
              </w:rPr>
            </w:pPr>
          </w:p>
        </w:tc>
        <w:tc>
          <w:tcPr>
            <w:tcW w:w="1121" w:type="pct"/>
            <w:tcBorders>
              <w:tl2br w:val="nil"/>
              <w:tr2bl w:val="nil"/>
            </w:tcBorders>
            <w:tcMar>
              <w:top w:w="15" w:type="dxa"/>
              <w:left w:w="108" w:type="dxa"/>
              <w:bottom w:w="15" w:type="dxa"/>
              <w:right w:w="108" w:type="dxa"/>
            </w:tcMar>
            <w:vAlign w:val="center"/>
          </w:tcPr>
          <w:p w14:paraId="066EB26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p>
        </w:tc>
        <w:tc>
          <w:tcPr>
            <w:tcW w:w="1380" w:type="pct"/>
            <w:tcBorders>
              <w:tl2br w:val="nil"/>
              <w:tr2bl w:val="nil"/>
            </w:tcBorders>
            <w:tcMar>
              <w:top w:w="15" w:type="dxa"/>
              <w:left w:w="108" w:type="dxa"/>
              <w:bottom w:w="15" w:type="dxa"/>
              <w:right w:w="108" w:type="dxa"/>
            </w:tcMar>
            <w:vAlign w:val="center"/>
          </w:tcPr>
          <w:p w14:paraId="0B19EE7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4"/>
                <w:szCs w:val="24"/>
                <w:u w:val="none"/>
                <w:lang w:val="en-US" w:eastAsia="zh-CN" w:bidi="ar"/>
              </w:rPr>
            </w:pPr>
            <w:r>
              <w:rPr>
                <w:rFonts w:hint="default" w:ascii="Times New Roman" w:hAnsi="Times New Roman" w:cs="Times New Roman" w:eastAsiaTheme="minorEastAsia"/>
                <w:i w:val="0"/>
                <w:iCs w:val="0"/>
                <w:color w:val="auto"/>
                <w:kern w:val="0"/>
                <w:sz w:val="24"/>
                <w:szCs w:val="24"/>
                <w:u w:val="none"/>
                <w:lang w:val="en-US" w:eastAsia="zh-CN" w:bidi="ar"/>
              </w:rPr>
              <w:t>2562</w:t>
            </w:r>
          </w:p>
        </w:tc>
      </w:tr>
    </w:tbl>
    <w:p w14:paraId="21D6B82A">
      <w:pPr>
        <w:pStyle w:val="8"/>
        <w:keepNext/>
        <w:keepLines/>
        <w:pageBreakBefore w:val="0"/>
        <w:widowControl w:val="0"/>
        <w:kinsoku/>
        <w:wordWrap/>
        <w:overflowPunct/>
        <w:topLinePunct w:val="0"/>
        <w:autoSpaceDE/>
        <w:autoSpaceDN/>
        <w:bidi w:val="0"/>
        <w:adjustRightInd/>
        <w:snapToGrid/>
        <w:spacing w:before="120" w:after="60" w:line="360" w:lineRule="auto"/>
        <w:textAlignment w:val="auto"/>
        <w:rPr>
          <w:rFonts w:hint="default" w:ascii="Times New Roman" w:hAnsi="Times New Roman" w:eastAsia="楷体_GB2312" w:cs="Times New Roman"/>
          <w:b/>
          <w:bCs w:val="0"/>
          <w:snapToGrid w:val="0"/>
          <w:color w:val="auto"/>
          <w:kern w:val="2"/>
          <w:sz w:val="30"/>
          <w:szCs w:val="30"/>
          <w:lang w:val="en-US" w:eastAsia="zh-CN" w:bidi="ar-SA"/>
        </w:rPr>
      </w:pPr>
      <w:bookmarkStart w:id="137" w:name="_Toc17594"/>
      <w:r>
        <w:rPr>
          <w:rFonts w:hint="eastAsia" w:ascii="Times New Roman" w:hAnsi="Times New Roman" w:eastAsia="楷体_GB2312" w:cs="Times New Roman"/>
          <w:b/>
          <w:bCs w:val="0"/>
          <w:snapToGrid w:val="0"/>
          <w:color w:val="auto"/>
          <w:kern w:val="2"/>
          <w:sz w:val="30"/>
          <w:szCs w:val="30"/>
          <w:lang w:val="en-US" w:eastAsia="zh-CN" w:bidi="ar-SA"/>
        </w:rPr>
        <w:t>（三）大中型水库周边</w:t>
      </w:r>
      <w:bookmarkEnd w:id="136"/>
      <w:bookmarkEnd w:id="137"/>
      <w:r>
        <w:rPr>
          <w:rFonts w:hint="eastAsia" w:ascii="Times New Roman" w:hAnsi="Times New Roman" w:eastAsia="楷体_GB2312" w:cs="Times New Roman"/>
          <w:b/>
          <w:bCs w:val="0"/>
          <w:snapToGrid w:val="0"/>
          <w:color w:val="auto"/>
          <w:kern w:val="2"/>
          <w:sz w:val="30"/>
          <w:szCs w:val="30"/>
          <w:lang w:val="en-US" w:eastAsia="zh-CN" w:bidi="ar-SA"/>
        </w:rPr>
        <w:t>水土流失预防</w:t>
      </w:r>
    </w:p>
    <w:p w14:paraId="06A52648">
      <w:pPr>
        <w:adjustRightInd w:val="0"/>
        <w:spacing w:after="0" w:line="360" w:lineRule="auto"/>
        <w:ind w:firstLine="560" w:firstLineChars="200"/>
        <w:rPr>
          <w:rFonts w:hint="default" w:ascii="Times New Roman" w:hAnsi="Times New Roman" w:eastAsia="宋体" w:cs="Times New Roman"/>
          <w:color w:val="auto"/>
          <w:sz w:val="28"/>
          <w:szCs w:val="28"/>
          <w:lang w:eastAsia="zh-CN"/>
        </w:rPr>
      </w:pPr>
      <w:r>
        <w:rPr>
          <w:rFonts w:hint="eastAsia" w:ascii="Times New Roman" w:hAnsi="Times New Roman" w:eastAsia="宋体" w:cs="Times New Roman"/>
          <w:color w:val="auto"/>
          <w:sz w:val="28"/>
          <w:szCs w:val="28"/>
          <w:lang w:val="en-US" w:eastAsia="zh-CN"/>
        </w:rPr>
        <w:t>根据</w:t>
      </w:r>
      <w:r>
        <w:rPr>
          <w:rFonts w:hint="default" w:ascii="Times New Roman" w:hAnsi="Times New Roman" w:eastAsia="宋体" w:cs="Times New Roman"/>
          <w:color w:val="auto"/>
          <w:sz w:val="28"/>
          <w:szCs w:val="28"/>
          <w:lang w:eastAsia="zh-CN"/>
        </w:rPr>
        <w:t>全省已有和在建的大中型水库</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eastAsia="zh-CN"/>
        </w:rPr>
        <w:t>确定夹岩水利枢纽、黔中水利枢纽，凤山、马岭、黄家湾水库库区及周边</w:t>
      </w:r>
      <w:r>
        <w:rPr>
          <w:rFonts w:hint="eastAsia" w:ascii="Times New Roman" w:hAnsi="Times New Roman" w:eastAsia="宋体" w:cs="Times New Roman"/>
          <w:color w:val="auto"/>
          <w:sz w:val="28"/>
          <w:szCs w:val="28"/>
          <w:lang w:val="en-US" w:eastAsia="zh-CN"/>
        </w:rPr>
        <w:t>为</w:t>
      </w:r>
      <w:r>
        <w:rPr>
          <w:rFonts w:hint="default" w:ascii="Times New Roman" w:hAnsi="Times New Roman" w:eastAsia="宋体" w:cs="Times New Roman"/>
          <w:color w:val="auto"/>
          <w:sz w:val="28"/>
          <w:szCs w:val="28"/>
          <w:lang w:eastAsia="zh-CN"/>
        </w:rPr>
        <w:t>“十</w:t>
      </w:r>
      <w:r>
        <w:rPr>
          <w:rFonts w:hint="default" w:ascii="Times New Roman" w:hAnsi="Times New Roman" w:eastAsia="宋体" w:cs="Times New Roman"/>
          <w:color w:val="auto"/>
          <w:sz w:val="28"/>
          <w:szCs w:val="28"/>
          <w:lang w:val="en-US" w:eastAsia="zh-CN"/>
        </w:rPr>
        <w:t>四</w:t>
      </w:r>
      <w:r>
        <w:rPr>
          <w:rFonts w:hint="default" w:ascii="Times New Roman" w:hAnsi="Times New Roman" w:eastAsia="宋体" w:cs="Times New Roman"/>
          <w:color w:val="auto"/>
          <w:sz w:val="28"/>
          <w:szCs w:val="28"/>
          <w:lang w:eastAsia="zh-CN"/>
        </w:rPr>
        <w:t>五”期间重点</w:t>
      </w:r>
      <w:r>
        <w:rPr>
          <w:rFonts w:hint="eastAsia" w:ascii="Times New Roman" w:hAnsi="Times New Roman" w:eastAsia="宋体" w:cs="Times New Roman"/>
          <w:color w:val="auto"/>
          <w:sz w:val="28"/>
          <w:szCs w:val="28"/>
          <w:lang w:val="en-US" w:eastAsia="zh-CN"/>
        </w:rPr>
        <w:t>预防</w:t>
      </w:r>
      <w:r>
        <w:rPr>
          <w:rFonts w:hint="default" w:ascii="Times New Roman" w:hAnsi="Times New Roman" w:eastAsia="宋体" w:cs="Times New Roman"/>
          <w:color w:val="auto"/>
          <w:sz w:val="28"/>
          <w:szCs w:val="28"/>
          <w:lang w:eastAsia="zh-CN"/>
        </w:rPr>
        <w:t>范围，</w:t>
      </w:r>
      <w:r>
        <w:rPr>
          <w:rFonts w:hint="eastAsia" w:ascii="Times New Roman" w:hAnsi="Times New Roman" w:cs="Times New Roman"/>
          <w:color w:val="auto"/>
          <w:sz w:val="28"/>
          <w:szCs w:val="28"/>
          <w:lang w:val="en-US" w:eastAsia="zh-CN"/>
        </w:rPr>
        <w:t>计划水土流失预防面积497km</w:t>
      </w:r>
      <w:r>
        <w:rPr>
          <w:rFonts w:hint="eastAsia" w:ascii="Times New Roman" w:hAnsi="Times New Roman" w:cs="Times New Roman"/>
          <w:color w:val="auto"/>
          <w:sz w:val="28"/>
          <w:szCs w:val="28"/>
          <w:vertAlign w:val="superscript"/>
          <w:lang w:val="en-US" w:eastAsia="zh-CN"/>
        </w:rPr>
        <w:t>2</w:t>
      </w:r>
      <w:r>
        <w:rPr>
          <w:rFonts w:hint="default" w:ascii="Times New Roman" w:hAnsi="Times New Roman" w:eastAsia="宋体" w:cs="Times New Roman"/>
          <w:color w:val="auto"/>
          <w:sz w:val="28"/>
          <w:szCs w:val="28"/>
          <w:lang w:eastAsia="zh-CN"/>
        </w:rPr>
        <w:t>，</w:t>
      </w:r>
      <w:r>
        <w:rPr>
          <w:rFonts w:hint="eastAsia" w:ascii="Times New Roman" w:hAnsi="Times New Roman" w:cs="Times New Roman"/>
          <w:color w:val="auto"/>
          <w:sz w:val="28"/>
          <w:szCs w:val="28"/>
          <w:lang w:val="en-US" w:eastAsia="zh-CN"/>
        </w:rPr>
        <w:t>详见表4-3</w:t>
      </w:r>
      <w:r>
        <w:rPr>
          <w:rFonts w:hint="default" w:ascii="Times New Roman" w:hAnsi="Times New Roman" w:eastAsia="宋体" w:cs="Times New Roman"/>
          <w:color w:val="auto"/>
          <w:sz w:val="28"/>
          <w:szCs w:val="28"/>
          <w:lang w:eastAsia="zh-CN"/>
        </w:rPr>
        <w:t>。</w:t>
      </w:r>
    </w:p>
    <w:p w14:paraId="43C8A6C8">
      <w:pPr>
        <w:keepNext w:val="0"/>
        <w:keepLines w:val="0"/>
        <w:pageBreakBefore w:val="0"/>
        <w:widowControl w:val="0"/>
        <w:kinsoku/>
        <w:wordWrap/>
        <w:overflowPunct/>
        <w:topLinePunct w:val="0"/>
        <w:autoSpaceDE/>
        <w:autoSpaceDN/>
        <w:bidi w:val="0"/>
        <w:adjustRightInd/>
        <w:snapToGrid w:val="0"/>
        <w:spacing w:after="0"/>
        <w:jc w:val="both"/>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表</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val="en-US" w:eastAsia="zh-CN"/>
        </w:rPr>
        <w:t xml:space="preserve">-3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val="en-US" w:eastAsia="zh-CN"/>
        </w:rPr>
        <w:t>大中型水库周边预防</w:t>
      </w:r>
      <w:r>
        <w:rPr>
          <w:rFonts w:hint="eastAsia" w:ascii="Times New Roman" w:hAnsi="Times New Roman" w:eastAsia="宋体" w:cs="Times New Roman"/>
          <w:b/>
          <w:bCs/>
          <w:color w:val="auto"/>
          <w:sz w:val="28"/>
          <w:szCs w:val="28"/>
          <w:lang w:val="en-US" w:eastAsia="zh-CN"/>
        </w:rPr>
        <w:t>保护项目规划</w:t>
      </w:r>
      <w:r>
        <w:rPr>
          <w:rFonts w:hint="default" w:ascii="Times New Roman" w:hAnsi="Times New Roman" w:eastAsia="宋体" w:cs="Times New Roman"/>
          <w:b/>
          <w:bCs/>
          <w:color w:val="auto"/>
          <w:sz w:val="28"/>
          <w:szCs w:val="28"/>
          <w:lang w:val="en-US" w:eastAsia="zh-CN"/>
        </w:rPr>
        <w:t>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Layout w:type="autofit"/>
        <w:tblCellMar>
          <w:top w:w="0" w:type="dxa"/>
          <w:left w:w="108" w:type="dxa"/>
          <w:bottom w:w="0" w:type="dxa"/>
          <w:right w:w="108" w:type="dxa"/>
        </w:tblCellMar>
      </w:tblPr>
      <w:tblGrid>
        <w:gridCol w:w="1626"/>
        <w:gridCol w:w="2252"/>
        <w:gridCol w:w="2709"/>
        <w:gridCol w:w="1932"/>
      </w:tblGrid>
      <w:tr w14:paraId="214DE3E9">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214" w:hRule="atLeast"/>
          <w:tblHeader/>
        </w:trPr>
        <w:tc>
          <w:tcPr>
            <w:tcW w:w="954" w:type="pct"/>
            <w:tcBorders>
              <w:tl2br w:val="nil"/>
              <w:tr2bl w:val="nil"/>
            </w:tcBorders>
            <w:vAlign w:val="center"/>
          </w:tcPr>
          <w:p w14:paraId="46040BAF">
            <w:pPr>
              <w:adjustRightInd w:val="0"/>
              <w:snapToGrid w:val="0"/>
              <w:spacing w:after="0" w:line="240" w:lineRule="atLeast"/>
              <w:jc w:val="center"/>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项目名称</w:t>
            </w:r>
          </w:p>
        </w:tc>
        <w:tc>
          <w:tcPr>
            <w:tcW w:w="1321" w:type="pct"/>
            <w:tcBorders>
              <w:tl2br w:val="nil"/>
              <w:tr2bl w:val="nil"/>
            </w:tcBorders>
            <w:tcMar>
              <w:top w:w="15" w:type="dxa"/>
              <w:left w:w="108" w:type="dxa"/>
              <w:bottom w:w="15" w:type="dxa"/>
              <w:right w:w="108" w:type="dxa"/>
            </w:tcMar>
            <w:vAlign w:val="center"/>
          </w:tcPr>
          <w:p w14:paraId="35E93424">
            <w:pPr>
              <w:adjustRightInd w:val="0"/>
              <w:snapToGrid w:val="0"/>
              <w:spacing w:after="0" w:line="240" w:lineRule="atLeast"/>
              <w:jc w:val="center"/>
              <w:rPr>
                <w:rFonts w:hint="default" w:ascii="Times New Roman" w:hAnsi="Times New Roman" w:eastAsia="宋体" w:cs="Times New Roman"/>
                <w:b/>
                <w:color w:val="auto"/>
                <w:kern w:val="2"/>
                <w:sz w:val="24"/>
                <w:szCs w:val="24"/>
                <w:lang w:val="en-US" w:eastAsia="zh-CN"/>
              </w:rPr>
            </w:pPr>
            <w:r>
              <w:rPr>
                <w:rFonts w:hint="default" w:ascii="Times New Roman" w:hAnsi="Times New Roman" w:eastAsia="宋体" w:cs="Times New Roman"/>
                <w:b/>
                <w:color w:val="auto"/>
                <w:kern w:val="2"/>
                <w:sz w:val="24"/>
                <w:szCs w:val="24"/>
                <w:lang w:val="en-US" w:eastAsia="zh-CN"/>
              </w:rPr>
              <w:t>预防保护对象</w:t>
            </w:r>
          </w:p>
        </w:tc>
        <w:tc>
          <w:tcPr>
            <w:tcW w:w="1589" w:type="pct"/>
            <w:tcBorders>
              <w:tl2br w:val="nil"/>
              <w:tr2bl w:val="nil"/>
            </w:tcBorders>
            <w:tcMar>
              <w:top w:w="15" w:type="dxa"/>
              <w:left w:w="108" w:type="dxa"/>
              <w:bottom w:w="15" w:type="dxa"/>
              <w:right w:w="108" w:type="dxa"/>
            </w:tcMar>
            <w:vAlign w:val="center"/>
          </w:tcPr>
          <w:p w14:paraId="118685BD">
            <w:pPr>
              <w:adjustRightInd w:val="0"/>
              <w:snapToGrid w:val="0"/>
              <w:spacing w:after="0" w:line="240" w:lineRule="atLeast"/>
              <w:jc w:val="center"/>
              <w:rPr>
                <w:rFonts w:hint="default" w:ascii="Times New Roman" w:hAnsi="Times New Roman" w:eastAsia="宋体" w:cs="Times New Roman"/>
                <w:b/>
                <w:color w:val="auto"/>
                <w:kern w:val="2"/>
                <w:sz w:val="24"/>
                <w:szCs w:val="24"/>
                <w:lang w:val="en-US" w:eastAsia="zh-CN"/>
              </w:rPr>
            </w:pPr>
            <w:r>
              <w:rPr>
                <w:rFonts w:hint="default" w:ascii="Times New Roman" w:hAnsi="Times New Roman" w:eastAsia="宋体" w:cs="Times New Roman"/>
                <w:b/>
                <w:color w:val="auto"/>
                <w:kern w:val="2"/>
                <w:sz w:val="24"/>
                <w:szCs w:val="24"/>
                <w:lang w:val="en-US" w:eastAsia="zh-CN"/>
              </w:rPr>
              <w:t>涉及范围</w:t>
            </w:r>
          </w:p>
        </w:tc>
        <w:tc>
          <w:tcPr>
            <w:tcW w:w="1133" w:type="pct"/>
            <w:tcBorders>
              <w:tl2br w:val="nil"/>
              <w:tr2bl w:val="nil"/>
            </w:tcBorders>
            <w:tcMar>
              <w:top w:w="15" w:type="dxa"/>
              <w:left w:w="108" w:type="dxa"/>
              <w:bottom w:w="15" w:type="dxa"/>
              <w:right w:w="108" w:type="dxa"/>
            </w:tcMar>
            <w:vAlign w:val="center"/>
          </w:tcPr>
          <w:p w14:paraId="22F5D1FB">
            <w:pPr>
              <w:adjustRightInd w:val="0"/>
              <w:snapToGrid w:val="0"/>
              <w:spacing w:after="0" w:line="240" w:lineRule="atLeast"/>
              <w:jc w:val="center"/>
              <w:rPr>
                <w:rFonts w:hint="default" w:ascii="Times New Roman" w:hAnsi="Times New Roman" w:eastAsia="宋体" w:cs="Times New Roman"/>
                <w:b/>
                <w:color w:val="auto"/>
                <w:kern w:val="2"/>
                <w:sz w:val="24"/>
                <w:szCs w:val="24"/>
                <w:lang w:val="en-US" w:eastAsia="zh-CN"/>
              </w:rPr>
            </w:pPr>
            <w:r>
              <w:rPr>
                <w:rFonts w:hint="default" w:ascii="Times New Roman" w:hAnsi="Times New Roman" w:eastAsia="宋体" w:cs="Times New Roman"/>
                <w:b/>
                <w:color w:val="auto"/>
                <w:kern w:val="2"/>
                <w:sz w:val="24"/>
                <w:szCs w:val="24"/>
                <w:lang w:val="en-US" w:eastAsia="zh-CN"/>
              </w:rPr>
              <w:t>预防保护</w:t>
            </w:r>
            <w:r>
              <w:rPr>
                <w:rFonts w:hint="default" w:ascii="Times New Roman" w:hAnsi="Times New Roman" w:eastAsia="宋体" w:cs="Times New Roman"/>
                <w:b/>
                <w:color w:val="auto"/>
                <w:kern w:val="2"/>
                <w:sz w:val="24"/>
                <w:szCs w:val="24"/>
              </w:rPr>
              <w:t>面积</w:t>
            </w:r>
            <w:r>
              <w:rPr>
                <w:rFonts w:hint="default" w:ascii="Times New Roman" w:hAnsi="Times New Roman" w:eastAsia="宋体" w:cs="Times New Roman"/>
                <w:b/>
                <w:color w:val="auto"/>
                <w:kern w:val="2"/>
                <w:sz w:val="24"/>
                <w:szCs w:val="24"/>
                <w:lang w:eastAsia="zh-CN"/>
              </w:rPr>
              <w:t>（</w:t>
            </w:r>
            <w:r>
              <w:rPr>
                <w:rFonts w:hint="default" w:ascii="Times New Roman" w:hAnsi="Times New Roman" w:eastAsia="宋体" w:cs="Times New Roman"/>
                <w:b/>
                <w:color w:val="auto"/>
                <w:kern w:val="2"/>
                <w:sz w:val="24"/>
                <w:szCs w:val="24"/>
                <w:lang w:val="en-US" w:eastAsia="zh-CN"/>
              </w:rPr>
              <w:t>km</w:t>
            </w:r>
            <w:r>
              <w:rPr>
                <w:rFonts w:hint="default" w:ascii="Times New Roman" w:hAnsi="Times New Roman" w:eastAsia="宋体" w:cs="Times New Roman"/>
                <w:b/>
                <w:color w:val="auto"/>
                <w:kern w:val="2"/>
                <w:sz w:val="24"/>
                <w:szCs w:val="24"/>
                <w:vertAlign w:val="superscript"/>
                <w:lang w:val="en-US" w:eastAsia="zh-CN"/>
              </w:rPr>
              <w:t>2</w:t>
            </w:r>
            <w:r>
              <w:rPr>
                <w:rFonts w:hint="default" w:ascii="Times New Roman" w:hAnsi="Times New Roman" w:eastAsia="宋体" w:cs="Times New Roman"/>
                <w:b/>
                <w:color w:val="auto"/>
                <w:kern w:val="2"/>
                <w:sz w:val="24"/>
                <w:szCs w:val="24"/>
                <w:lang w:eastAsia="zh-CN"/>
              </w:rPr>
              <w:t>）</w:t>
            </w:r>
          </w:p>
        </w:tc>
      </w:tr>
      <w:tr w14:paraId="5AA2ABBE">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763" w:hRule="atLeast"/>
          <w:tblHeader/>
        </w:trPr>
        <w:tc>
          <w:tcPr>
            <w:tcW w:w="954" w:type="pct"/>
            <w:vMerge w:val="restart"/>
            <w:tcBorders>
              <w:tl2br w:val="nil"/>
              <w:tr2bl w:val="nil"/>
            </w:tcBorders>
            <w:vAlign w:val="center"/>
          </w:tcPr>
          <w:p w14:paraId="2E105C0E">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大中型水库周边预防保护</w:t>
            </w:r>
          </w:p>
        </w:tc>
        <w:tc>
          <w:tcPr>
            <w:tcW w:w="1321" w:type="pct"/>
            <w:tcBorders>
              <w:tl2br w:val="nil"/>
              <w:tr2bl w:val="nil"/>
            </w:tcBorders>
            <w:tcMar>
              <w:top w:w="15" w:type="dxa"/>
              <w:left w:w="108" w:type="dxa"/>
              <w:bottom w:w="15" w:type="dxa"/>
              <w:right w:w="108" w:type="dxa"/>
            </w:tcMar>
            <w:vAlign w:val="center"/>
          </w:tcPr>
          <w:p w14:paraId="5FCF42BF">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sz w:val="24"/>
                <w:szCs w:val="24"/>
                <w:lang w:val="en-US" w:eastAsia="zh-CN" w:bidi="ar-SA"/>
              </w:rPr>
              <w:t>夹岩水利枢纽</w:t>
            </w:r>
          </w:p>
        </w:tc>
        <w:tc>
          <w:tcPr>
            <w:tcW w:w="1589" w:type="pct"/>
            <w:tcBorders>
              <w:tl2br w:val="nil"/>
              <w:tr2bl w:val="nil"/>
            </w:tcBorders>
            <w:tcMar>
              <w:top w:w="15" w:type="dxa"/>
              <w:left w:w="108" w:type="dxa"/>
              <w:bottom w:w="15" w:type="dxa"/>
              <w:right w:w="108" w:type="dxa"/>
            </w:tcMar>
            <w:vAlign w:val="center"/>
          </w:tcPr>
          <w:p w14:paraId="0E195A71">
            <w:pPr>
              <w:adjustRightInd w:val="0"/>
              <w:snapToGrid w:val="0"/>
              <w:spacing w:after="0" w:line="240" w:lineRule="atLeast"/>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纳雍、大方、仁怀、织金、金沙、遵义、黔西</w:t>
            </w:r>
          </w:p>
        </w:tc>
        <w:tc>
          <w:tcPr>
            <w:tcW w:w="1133" w:type="pct"/>
            <w:vMerge w:val="restart"/>
            <w:tcBorders>
              <w:tl2br w:val="nil"/>
              <w:tr2bl w:val="nil"/>
            </w:tcBorders>
            <w:tcMar>
              <w:top w:w="15" w:type="dxa"/>
              <w:left w:w="108" w:type="dxa"/>
              <w:bottom w:w="15" w:type="dxa"/>
              <w:right w:w="108" w:type="dxa"/>
            </w:tcMar>
            <w:vAlign w:val="center"/>
          </w:tcPr>
          <w:p w14:paraId="2262759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497</w:t>
            </w:r>
          </w:p>
        </w:tc>
      </w:tr>
      <w:tr w14:paraId="380FFBC1">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239" w:hRule="atLeast"/>
          <w:tblHeader/>
        </w:trPr>
        <w:tc>
          <w:tcPr>
            <w:tcW w:w="954" w:type="pct"/>
            <w:vMerge w:val="continue"/>
            <w:tcBorders>
              <w:tl2br w:val="nil"/>
              <w:tr2bl w:val="nil"/>
            </w:tcBorders>
            <w:vAlign w:val="center"/>
          </w:tcPr>
          <w:p w14:paraId="262F6676">
            <w:pPr>
              <w:adjustRightInd w:val="0"/>
              <w:snapToGrid w:val="0"/>
              <w:spacing w:after="0" w:line="240" w:lineRule="atLeast"/>
              <w:jc w:val="center"/>
              <w:rPr>
                <w:rFonts w:hint="default" w:ascii="Times New Roman" w:hAnsi="Times New Roman" w:eastAsia="宋体" w:cs="Times New Roman"/>
                <w:color w:val="auto"/>
                <w:kern w:val="2"/>
                <w:sz w:val="24"/>
                <w:szCs w:val="24"/>
              </w:rPr>
            </w:pPr>
          </w:p>
        </w:tc>
        <w:tc>
          <w:tcPr>
            <w:tcW w:w="1321" w:type="pct"/>
            <w:tcBorders>
              <w:tl2br w:val="nil"/>
              <w:tr2bl w:val="nil"/>
            </w:tcBorders>
            <w:tcMar>
              <w:top w:w="15" w:type="dxa"/>
              <w:left w:w="108" w:type="dxa"/>
              <w:bottom w:w="15" w:type="dxa"/>
              <w:right w:w="108" w:type="dxa"/>
            </w:tcMar>
            <w:vAlign w:val="center"/>
          </w:tcPr>
          <w:p w14:paraId="7B83FF35">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sz w:val="24"/>
                <w:szCs w:val="24"/>
                <w:lang w:eastAsia="zh-CN" w:bidi="ar-SA"/>
              </w:rPr>
              <w:t>黔中水利枢纽</w:t>
            </w:r>
          </w:p>
        </w:tc>
        <w:tc>
          <w:tcPr>
            <w:tcW w:w="1589" w:type="pct"/>
            <w:tcBorders>
              <w:tl2br w:val="nil"/>
              <w:tr2bl w:val="nil"/>
            </w:tcBorders>
            <w:tcMar>
              <w:top w:w="15" w:type="dxa"/>
              <w:left w:w="108" w:type="dxa"/>
              <w:bottom w:w="15" w:type="dxa"/>
              <w:right w:w="108" w:type="dxa"/>
            </w:tcMar>
            <w:vAlign w:val="center"/>
          </w:tcPr>
          <w:p w14:paraId="62BA7765">
            <w:pPr>
              <w:adjustRightInd w:val="0"/>
              <w:snapToGrid w:val="0"/>
              <w:spacing w:after="0" w:line="240" w:lineRule="atLeast"/>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水城、六枝、织金、纳雍、普定、西秀、镇宁、关岭、平坝、长顺</w:t>
            </w:r>
          </w:p>
        </w:tc>
        <w:tc>
          <w:tcPr>
            <w:tcW w:w="1133" w:type="pct"/>
            <w:vMerge w:val="continue"/>
            <w:tcBorders>
              <w:tl2br w:val="nil"/>
              <w:tr2bl w:val="nil"/>
            </w:tcBorders>
            <w:tcMar>
              <w:top w:w="15" w:type="dxa"/>
              <w:left w:w="108" w:type="dxa"/>
              <w:bottom w:w="15" w:type="dxa"/>
              <w:right w:w="108" w:type="dxa"/>
            </w:tcMar>
            <w:vAlign w:val="center"/>
          </w:tcPr>
          <w:p w14:paraId="33568B9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D6B0292">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90" w:hRule="atLeast"/>
          <w:tblHeader/>
        </w:trPr>
        <w:tc>
          <w:tcPr>
            <w:tcW w:w="954" w:type="pct"/>
            <w:vMerge w:val="continue"/>
            <w:tcBorders>
              <w:tl2br w:val="nil"/>
              <w:tr2bl w:val="nil"/>
            </w:tcBorders>
            <w:vAlign w:val="center"/>
          </w:tcPr>
          <w:p w14:paraId="13DD97EA">
            <w:pPr>
              <w:adjustRightInd w:val="0"/>
              <w:snapToGrid w:val="0"/>
              <w:spacing w:after="0" w:line="240" w:lineRule="atLeast"/>
              <w:jc w:val="center"/>
              <w:rPr>
                <w:rFonts w:hint="default" w:ascii="Times New Roman" w:hAnsi="Times New Roman" w:eastAsia="宋体" w:cs="Times New Roman"/>
                <w:color w:val="auto"/>
                <w:kern w:val="2"/>
                <w:sz w:val="24"/>
                <w:szCs w:val="24"/>
                <w:lang w:eastAsia="zh-CN"/>
              </w:rPr>
            </w:pPr>
          </w:p>
        </w:tc>
        <w:tc>
          <w:tcPr>
            <w:tcW w:w="1321" w:type="pct"/>
            <w:tcBorders>
              <w:tl2br w:val="nil"/>
              <w:tr2bl w:val="nil"/>
            </w:tcBorders>
            <w:tcMar>
              <w:top w:w="15" w:type="dxa"/>
              <w:left w:w="108" w:type="dxa"/>
              <w:bottom w:w="15" w:type="dxa"/>
              <w:right w:w="108" w:type="dxa"/>
            </w:tcMar>
            <w:vAlign w:val="center"/>
          </w:tcPr>
          <w:p w14:paraId="72B55BDE">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sz w:val="24"/>
                <w:szCs w:val="24"/>
              </w:rPr>
              <w:t>凤山</w:t>
            </w:r>
            <w:r>
              <w:rPr>
                <w:rFonts w:hint="default" w:ascii="Times New Roman" w:hAnsi="Times New Roman" w:eastAsia="宋体" w:cs="Times New Roman"/>
                <w:color w:val="auto"/>
                <w:sz w:val="24"/>
                <w:szCs w:val="24"/>
                <w:lang w:val="en-US" w:eastAsia="zh-CN"/>
              </w:rPr>
              <w:t>水库</w:t>
            </w:r>
          </w:p>
        </w:tc>
        <w:tc>
          <w:tcPr>
            <w:tcW w:w="1589" w:type="pct"/>
            <w:tcBorders>
              <w:tl2br w:val="nil"/>
              <w:tr2bl w:val="nil"/>
            </w:tcBorders>
            <w:tcMar>
              <w:top w:w="15" w:type="dxa"/>
              <w:left w:w="108" w:type="dxa"/>
              <w:bottom w:w="15" w:type="dxa"/>
              <w:right w:w="108" w:type="dxa"/>
            </w:tcMar>
            <w:vAlign w:val="center"/>
          </w:tcPr>
          <w:p w14:paraId="1708226F">
            <w:pPr>
              <w:adjustRightInd w:val="0"/>
              <w:snapToGrid w:val="0"/>
              <w:spacing w:after="0" w:line="240" w:lineRule="atLeast"/>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福泉</w:t>
            </w:r>
          </w:p>
        </w:tc>
        <w:tc>
          <w:tcPr>
            <w:tcW w:w="1133" w:type="pct"/>
            <w:vMerge w:val="continue"/>
            <w:tcBorders>
              <w:tl2br w:val="nil"/>
              <w:tr2bl w:val="nil"/>
            </w:tcBorders>
            <w:tcMar>
              <w:top w:w="15" w:type="dxa"/>
              <w:left w:w="108" w:type="dxa"/>
              <w:bottom w:w="15" w:type="dxa"/>
              <w:right w:w="108" w:type="dxa"/>
            </w:tcMar>
            <w:vAlign w:val="center"/>
          </w:tcPr>
          <w:p w14:paraId="1D2967B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D4E4CE7">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226" w:hRule="atLeast"/>
          <w:tblHeader/>
        </w:trPr>
        <w:tc>
          <w:tcPr>
            <w:tcW w:w="954" w:type="pct"/>
            <w:vMerge w:val="continue"/>
            <w:tcBorders>
              <w:tl2br w:val="nil"/>
              <w:tr2bl w:val="nil"/>
            </w:tcBorders>
            <w:vAlign w:val="center"/>
          </w:tcPr>
          <w:p w14:paraId="44B5EA7A">
            <w:pPr>
              <w:adjustRightInd w:val="0"/>
              <w:snapToGrid w:val="0"/>
              <w:spacing w:after="0" w:line="240" w:lineRule="atLeast"/>
              <w:jc w:val="center"/>
              <w:rPr>
                <w:rFonts w:hint="default" w:ascii="Times New Roman" w:hAnsi="Times New Roman" w:eastAsia="宋体" w:cs="Times New Roman"/>
                <w:color w:val="auto"/>
                <w:kern w:val="2"/>
                <w:sz w:val="24"/>
                <w:szCs w:val="24"/>
              </w:rPr>
            </w:pPr>
          </w:p>
        </w:tc>
        <w:tc>
          <w:tcPr>
            <w:tcW w:w="1321" w:type="pct"/>
            <w:tcBorders>
              <w:tl2br w:val="nil"/>
              <w:tr2bl w:val="nil"/>
            </w:tcBorders>
            <w:tcMar>
              <w:top w:w="15" w:type="dxa"/>
              <w:left w:w="108" w:type="dxa"/>
              <w:bottom w:w="15" w:type="dxa"/>
              <w:right w:w="108" w:type="dxa"/>
            </w:tcMar>
            <w:vAlign w:val="center"/>
          </w:tcPr>
          <w:p w14:paraId="103339D9">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sz w:val="24"/>
                <w:szCs w:val="24"/>
              </w:rPr>
              <w:t>马岭</w:t>
            </w:r>
            <w:r>
              <w:rPr>
                <w:rFonts w:hint="default" w:ascii="Times New Roman" w:hAnsi="Times New Roman" w:eastAsia="宋体" w:cs="Times New Roman"/>
                <w:color w:val="auto"/>
                <w:sz w:val="24"/>
                <w:szCs w:val="24"/>
                <w:lang w:val="en-US" w:eastAsia="zh-CN"/>
              </w:rPr>
              <w:t>水库</w:t>
            </w:r>
          </w:p>
        </w:tc>
        <w:tc>
          <w:tcPr>
            <w:tcW w:w="1589" w:type="pct"/>
            <w:tcBorders>
              <w:tl2br w:val="nil"/>
              <w:tr2bl w:val="nil"/>
            </w:tcBorders>
            <w:tcMar>
              <w:top w:w="15" w:type="dxa"/>
              <w:left w:w="108" w:type="dxa"/>
              <w:bottom w:w="15" w:type="dxa"/>
              <w:right w:w="108" w:type="dxa"/>
            </w:tcMar>
            <w:vAlign w:val="center"/>
          </w:tcPr>
          <w:p w14:paraId="57C24D1C">
            <w:pPr>
              <w:adjustRightInd w:val="0"/>
              <w:snapToGrid w:val="0"/>
              <w:spacing w:after="0" w:line="240" w:lineRule="atLeast"/>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兴义</w:t>
            </w:r>
          </w:p>
        </w:tc>
        <w:tc>
          <w:tcPr>
            <w:tcW w:w="1133" w:type="pct"/>
            <w:vMerge w:val="continue"/>
            <w:tcBorders>
              <w:tl2br w:val="nil"/>
              <w:tr2bl w:val="nil"/>
            </w:tcBorders>
            <w:tcMar>
              <w:top w:w="15" w:type="dxa"/>
              <w:left w:w="108" w:type="dxa"/>
              <w:bottom w:w="15" w:type="dxa"/>
              <w:right w:w="108" w:type="dxa"/>
            </w:tcMar>
            <w:vAlign w:val="center"/>
          </w:tcPr>
          <w:p w14:paraId="6AB0A5C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49FC3BC">
        <w:tblPrEx>
          <w:tblBorders>
            <w:top w:val="single" w:color="000000" w:sz="12" w:space="0"/>
            <w:left w:val="none" w:color="auto" w:sz="0" w:space="0"/>
            <w:bottom w:val="single" w:color="000000" w:sz="12" w:space="0"/>
            <w:right w:val="none" w:color="auto" w:sz="0" w:space="0"/>
            <w:insideH w:val="single" w:color="000000" w:sz="6" w:space="0"/>
            <w:insideV w:val="single" w:color="000000" w:sz="2" w:space="0"/>
          </w:tblBorders>
          <w:tblCellMar>
            <w:top w:w="0" w:type="dxa"/>
            <w:left w:w="108" w:type="dxa"/>
            <w:bottom w:w="0" w:type="dxa"/>
            <w:right w:w="108" w:type="dxa"/>
          </w:tblCellMar>
        </w:tblPrEx>
        <w:trPr>
          <w:trHeight w:val="237" w:hRule="atLeast"/>
          <w:tblHeader/>
        </w:trPr>
        <w:tc>
          <w:tcPr>
            <w:tcW w:w="954" w:type="pct"/>
            <w:vMerge w:val="continue"/>
            <w:tcBorders>
              <w:tl2br w:val="nil"/>
              <w:tr2bl w:val="nil"/>
            </w:tcBorders>
            <w:vAlign w:val="center"/>
          </w:tcPr>
          <w:p w14:paraId="6711B4FC">
            <w:pPr>
              <w:adjustRightInd w:val="0"/>
              <w:snapToGrid w:val="0"/>
              <w:spacing w:after="0" w:line="240" w:lineRule="atLeast"/>
              <w:jc w:val="center"/>
              <w:rPr>
                <w:rFonts w:hint="default" w:ascii="Times New Roman" w:hAnsi="Times New Roman" w:eastAsia="宋体" w:cs="Times New Roman"/>
                <w:color w:val="auto"/>
                <w:kern w:val="2"/>
                <w:sz w:val="24"/>
                <w:szCs w:val="24"/>
              </w:rPr>
            </w:pPr>
          </w:p>
        </w:tc>
        <w:tc>
          <w:tcPr>
            <w:tcW w:w="1321" w:type="pct"/>
            <w:tcBorders>
              <w:tl2br w:val="nil"/>
              <w:tr2bl w:val="nil"/>
            </w:tcBorders>
            <w:tcMar>
              <w:top w:w="15" w:type="dxa"/>
              <w:left w:w="108" w:type="dxa"/>
              <w:bottom w:w="15" w:type="dxa"/>
              <w:right w:w="108" w:type="dxa"/>
            </w:tcMar>
            <w:vAlign w:val="center"/>
          </w:tcPr>
          <w:p w14:paraId="4A2AF32A">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sz w:val="24"/>
                <w:szCs w:val="24"/>
              </w:rPr>
              <w:t>黄家湾</w:t>
            </w:r>
            <w:r>
              <w:rPr>
                <w:rFonts w:hint="default" w:ascii="Times New Roman" w:hAnsi="Times New Roman" w:eastAsia="宋体" w:cs="Times New Roman"/>
                <w:color w:val="auto"/>
                <w:sz w:val="24"/>
                <w:szCs w:val="24"/>
                <w:lang w:val="en-US" w:eastAsia="zh-CN"/>
              </w:rPr>
              <w:t>水</w:t>
            </w:r>
            <w:r>
              <w:rPr>
                <w:rFonts w:hint="default" w:ascii="Times New Roman" w:hAnsi="Times New Roman" w:eastAsia="宋体" w:cs="Times New Roman"/>
                <w:color w:val="auto"/>
                <w:sz w:val="24"/>
                <w:szCs w:val="24"/>
                <w:lang w:eastAsia="zh-CN" w:bidi="ar-SA"/>
              </w:rPr>
              <w:t>库区</w:t>
            </w:r>
          </w:p>
        </w:tc>
        <w:tc>
          <w:tcPr>
            <w:tcW w:w="1589" w:type="pct"/>
            <w:tcBorders>
              <w:tl2br w:val="nil"/>
              <w:tr2bl w:val="nil"/>
            </w:tcBorders>
            <w:tcMar>
              <w:top w:w="15" w:type="dxa"/>
              <w:left w:w="108" w:type="dxa"/>
              <w:bottom w:w="15" w:type="dxa"/>
              <w:right w:w="108" w:type="dxa"/>
            </w:tcMar>
            <w:vAlign w:val="center"/>
          </w:tcPr>
          <w:p w14:paraId="0F7DE85E">
            <w:pPr>
              <w:adjustRightInd w:val="0"/>
              <w:snapToGrid w:val="0"/>
              <w:spacing w:after="0" w:line="240" w:lineRule="atLeast"/>
              <w:jc w:val="center"/>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t>惠水</w:t>
            </w:r>
          </w:p>
        </w:tc>
        <w:tc>
          <w:tcPr>
            <w:tcW w:w="1133" w:type="pct"/>
            <w:vMerge w:val="continue"/>
            <w:tcBorders>
              <w:tl2br w:val="nil"/>
              <w:tr2bl w:val="nil"/>
            </w:tcBorders>
            <w:tcMar>
              <w:top w:w="15" w:type="dxa"/>
              <w:left w:w="108" w:type="dxa"/>
              <w:bottom w:w="15" w:type="dxa"/>
              <w:right w:w="108" w:type="dxa"/>
            </w:tcMar>
            <w:vAlign w:val="center"/>
          </w:tcPr>
          <w:p w14:paraId="67D1AA3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bl>
    <w:p w14:paraId="094FBFA7">
      <w:pPr>
        <w:pStyle w:val="8"/>
        <w:keepNext/>
        <w:keepLines/>
        <w:pageBreakBefore w:val="0"/>
        <w:widowControl w:val="0"/>
        <w:kinsoku/>
        <w:wordWrap/>
        <w:overflowPunct/>
        <w:topLinePunct w:val="0"/>
        <w:autoSpaceDE/>
        <w:autoSpaceDN/>
        <w:bidi w:val="0"/>
        <w:adjustRightInd/>
        <w:snapToGrid/>
        <w:spacing w:before="120" w:after="60" w:line="360" w:lineRule="auto"/>
        <w:textAlignment w:val="auto"/>
        <w:rPr>
          <w:rFonts w:hint="default" w:ascii="Times New Roman" w:hAnsi="Times New Roman" w:eastAsia="楷体_GB2312" w:cs="Times New Roman"/>
          <w:b/>
          <w:bCs w:val="0"/>
          <w:snapToGrid w:val="0"/>
          <w:color w:val="auto"/>
          <w:kern w:val="2"/>
          <w:sz w:val="30"/>
          <w:szCs w:val="30"/>
          <w:lang w:val="en-US" w:eastAsia="zh-CN" w:bidi="ar-SA"/>
        </w:rPr>
      </w:pPr>
      <w:bookmarkStart w:id="138" w:name="_Toc19734"/>
      <w:bookmarkStart w:id="139" w:name="_Toc7565"/>
      <w:r>
        <w:rPr>
          <w:rFonts w:hint="eastAsia" w:ascii="Times New Roman" w:hAnsi="Times New Roman" w:eastAsia="楷体_GB2312" w:cs="Times New Roman"/>
          <w:b/>
          <w:bCs w:val="0"/>
          <w:snapToGrid w:val="0"/>
          <w:color w:val="auto"/>
          <w:kern w:val="2"/>
          <w:sz w:val="30"/>
          <w:szCs w:val="30"/>
          <w:lang w:val="en-US" w:eastAsia="zh-CN" w:bidi="ar-SA"/>
        </w:rPr>
        <w:t>（四）重要生态功能区</w:t>
      </w:r>
      <w:bookmarkEnd w:id="138"/>
      <w:bookmarkEnd w:id="139"/>
      <w:r>
        <w:rPr>
          <w:rFonts w:hint="eastAsia" w:ascii="Times New Roman" w:hAnsi="Times New Roman" w:eastAsia="楷体_GB2312" w:cs="Times New Roman"/>
          <w:b/>
          <w:bCs w:val="0"/>
          <w:snapToGrid w:val="0"/>
          <w:color w:val="auto"/>
          <w:kern w:val="2"/>
          <w:sz w:val="30"/>
          <w:szCs w:val="30"/>
          <w:lang w:val="en-US" w:eastAsia="zh-CN" w:bidi="ar-SA"/>
        </w:rPr>
        <w:t>水土流失预防</w:t>
      </w:r>
    </w:p>
    <w:p w14:paraId="3C23912A">
      <w:pPr>
        <w:pStyle w:val="25"/>
        <w:ind w:firstLine="562"/>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color w:val="auto"/>
          <w:sz w:val="28"/>
          <w:szCs w:val="28"/>
        </w:rPr>
        <w:t>根据自然保护区生态功能的重要性，确定草海、麻阳河、梵净山、茂兰等4个位于重要生态功能区的自然保护区</w:t>
      </w:r>
      <w:r>
        <w:rPr>
          <w:rFonts w:hint="eastAsia" w:ascii="Times New Roman" w:hAnsi="Times New Roman" w:eastAsia="宋体" w:cs="Times New Roman"/>
          <w:b w:val="0"/>
          <w:color w:val="auto"/>
          <w:sz w:val="28"/>
          <w:szCs w:val="28"/>
          <w:lang w:val="en-US" w:eastAsia="zh-CN"/>
        </w:rPr>
        <w:t>为</w:t>
      </w:r>
      <w:r>
        <w:rPr>
          <w:rFonts w:hint="default" w:ascii="Times New Roman" w:hAnsi="Times New Roman" w:eastAsia="宋体" w:cs="Times New Roman"/>
          <w:b w:val="0"/>
          <w:color w:val="auto"/>
          <w:sz w:val="28"/>
          <w:szCs w:val="28"/>
          <w:lang w:eastAsia="zh-CN"/>
        </w:rPr>
        <w:t>“十</w:t>
      </w:r>
      <w:r>
        <w:rPr>
          <w:rFonts w:hint="default" w:ascii="Times New Roman" w:hAnsi="Times New Roman" w:eastAsia="宋体" w:cs="Times New Roman"/>
          <w:b w:val="0"/>
          <w:color w:val="auto"/>
          <w:sz w:val="28"/>
          <w:szCs w:val="28"/>
          <w:lang w:val="en-US" w:eastAsia="zh-CN"/>
        </w:rPr>
        <w:t>四</w:t>
      </w:r>
      <w:r>
        <w:rPr>
          <w:rFonts w:hint="default" w:ascii="Times New Roman" w:hAnsi="Times New Roman" w:eastAsia="宋体" w:cs="Times New Roman"/>
          <w:b w:val="0"/>
          <w:color w:val="auto"/>
          <w:sz w:val="28"/>
          <w:szCs w:val="28"/>
          <w:lang w:eastAsia="zh-CN"/>
        </w:rPr>
        <w:t>五”期间重点</w:t>
      </w:r>
      <w:r>
        <w:rPr>
          <w:rFonts w:hint="eastAsia" w:ascii="Times New Roman" w:hAnsi="Times New Roman" w:eastAsia="宋体" w:cs="Times New Roman"/>
          <w:b w:val="0"/>
          <w:color w:val="auto"/>
          <w:sz w:val="28"/>
          <w:szCs w:val="28"/>
          <w:lang w:val="en-US" w:eastAsia="zh-CN"/>
        </w:rPr>
        <w:t>预防</w:t>
      </w:r>
      <w:r>
        <w:rPr>
          <w:rFonts w:hint="default" w:ascii="Times New Roman" w:hAnsi="Times New Roman" w:eastAsia="宋体" w:cs="Times New Roman"/>
          <w:b w:val="0"/>
          <w:color w:val="auto"/>
          <w:sz w:val="28"/>
          <w:szCs w:val="28"/>
          <w:lang w:eastAsia="zh-CN"/>
        </w:rPr>
        <w:t>范围</w:t>
      </w:r>
      <w:r>
        <w:rPr>
          <w:rFonts w:hint="eastAsia" w:ascii="Times New Roman" w:hAnsi="Times New Roman" w:eastAsia="宋体" w:cs="Times New Roman"/>
          <w:b w:val="0"/>
          <w:color w:val="auto"/>
          <w:sz w:val="28"/>
          <w:szCs w:val="28"/>
          <w:lang w:val="en-US" w:eastAsia="zh-CN"/>
        </w:rPr>
        <w:t>，计划水土流失预防面积1469km</w:t>
      </w:r>
      <w:r>
        <w:rPr>
          <w:rFonts w:hint="eastAsia" w:ascii="Times New Roman" w:hAnsi="Times New Roman" w:eastAsia="宋体" w:cs="Times New Roman"/>
          <w:b w:val="0"/>
          <w:color w:val="auto"/>
          <w:sz w:val="28"/>
          <w:szCs w:val="28"/>
          <w:vertAlign w:val="superscript"/>
          <w:lang w:val="en-US" w:eastAsia="zh-CN"/>
        </w:rPr>
        <w:t>2</w:t>
      </w:r>
      <w:r>
        <w:rPr>
          <w:rFonts w:hint="default" w:ascii="Times New Roman" w:hAnsi="Times New Roman" w:eastAsia="宋体" w:cs="Times New Roman"/>
          <w:b w:val="0"/>
          <w:color w:val="auto"/>
          <w:sz w:val="28"/>
          <w:szCs w:val="28"/>
          <w:lang w:eastAsia="zh-CN"/>
        </w:rPr>
        <w:t>，</w:t>
      </w:r>
      <w:r>
        <w:rPr>
          <w:rFonts w:hint="eastAsia" w:ascii="Times New Roman" w:hAnsi="Times New Roman" w:eastAsia="宋体" w:cs="Times New Roman"/>
          <w:b w:val="0"/>
          <w:color w:val="auto"/>
          <w:sz w:val="28"/>
          <w:szCs w:val="28"/>
          <w:lang w:val="en-US" w:eastAsia="zh-CN"/>
        </w:rPr>
        <w:t>详见表4-4</w:t>
      </w:r>
      <w:r>
        <w:rPr>
          <w:rFonts w:hint="default" w:ascii="Times New Roman" w:hAnsi="Times New Roman" w:eastAsia="宋体" w:cs="Times New Roman"/>
          <w:b w:val="0"/>
          <w:color w:val="auto"/>
          <w:sz w:val="28"/>
          <w:szCs w:val="28"/>
        </w:rPr>
        <w:t>。</w:t>
      </w:r>
    </w:p>
    <w:p w14:paraId="34EE6832">
      <w:pPr>
        <w:keepNext w:val="0"/>
        <w:keepLines w:val="0"/>
        <w:pageBreakBefore w:val="0"/>
        <w:widowControl w:val="0"/>
        <w:kinsoku/>
        <w:wordWrap/>
        <w:overflowPunct/>
        <w:topLinePunct w:val="0"/>
        <w:autoSpaceDE/>
        <w:autoSpaceDN/>
        <w:bidi w:val="0"/>
        <w:adjustRightInd/>
        <w:snapToGrid w:val="0"/>
        <w:spacing w:before="120" w:after="0" w:line="240" w:lineRule="auto"/>
        <w:jc w:val="both"/>
        <w:textAlignment w:val="auto"/>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eastAsia="zh-CN"/>
        </w:rPr>
        <w:t>-</w:t>
      </w: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重要生态功能区预防</w:t>
      </w:r>
      <w:r>
        <w:rPr>
          <w:rFonts w:hint="eastAsia" w:ascii="Times New Roman" w:hAnsi="Times New Roman" w:eastAsia="宋体" w:cs="Times New Roman"/>
          <w:b/>
          <w:bCs/>
          <w:color w:val="auto"/>
          <w:sz w:val="28"/>
          <w:szCs w:val="28"/>
          <w:lang w:val="en-US" w:eastAsia="zh-CN"/>
        </w:rPr>
        <w:t>保护项目规划</w:t>
      </w:r>
      <w:r>
        <w:rPr>
          <w:rFonts w:hint="default" w:ascii="Times New Roman" w:hAnsi="Times New Roman" w:eastAsia="宋体" w:cs="Times New Roman"/>
          <w:b/>
          <w:bCs/>
          <w:color w:val="auto"/>
          <w:sz w:val="28"/>
          <w:szCs w:val="28"/>
          <w:lang w:eastAsia="zh-CN"/>
        </w:rPr>
        <w:t>表</w:t>
      </w:r>
    </w:p>
    <w:tbl>
      <w:tblPr>
        <w:tblStyle w:val="19"/>
        <w:tblW w:w="4999"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329"/>
        <w:gridCol w:w="1842"/>
        <w:gridCol w:w="3567"/>
        <w:gridCol w:w="1782"/>
      </w:tblGrid>
      <w:tr w14:paraId="04ABF7A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0" w:type="pct"/>
            <w:tcBorders>
              <w:top w:val="single" w:color="000000" w:sz="12" w:space="0"/>
              <w:left w:val="nil"/>
              <w:bottom w:val="single" w:color="000000" w:sz="6" w:space="0"/>
              <w:right w:val="single" w:color="000000" w:sz="6" w:space="0"/>
            </w:tcBorders>
            <w:vAlign w:val="center"/>
          </w:tcPr>
          <w:p w14:paraId="3756B8AB">
            <w:pPr>
              <w:adjustRightInd w:val="0"/>
              <w:snapToGrid w:val="0"/>
              <w:spacing w:after="0" w:line="240" w:lineRule="atLeast"/>
              <w:jc w:val="center"/>
              <w:rPr>
                <w:rFonts w:hint="default" w:ascii="Times New Roman" w:hAnsi="Times New Roman" w:eastAsia="宋体" w:cs="Times New Roman"/>
                <w:b/>
                <w:color w:val="auto"/>
                <w:kern w:val="2"/>
                <w:sz w:val="24"/>
                <w:szCs w:val="24"/>
              </w:rPr>
            </w:pPr>
            <w:r>
              <w:rPr>
                <w:rFonts w:hint="default" w:ascii="Times New Roman" w:hAnsi="Times New Roman" w:eastAsia="宋体" w:cs="Times New Roman"/>
                <w:b/>
                <w:color w:val="auto"/>
                <w:kern w:val="2"/>
                <w:sz w:val="24"/>
                <w:szCs w:val="24"/>
              </w:rPr>
              <w:t>项目名称</w:t>
            </w:r>
          </w:p>
        </w:tc>
        <w:tc>
          <w:tcPr>
            <w:tcW w:w="1081" w:type="pct"/>
            <w:tcBorders>
              <w:top w:val="single" w:color="000000" w:sz="12"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63B8B179">
            <w:pPr>
              <w:adjustRightInd w:val="0"/>
              <w:snapToGrid w:val="0"/>
              <w:spacing w:after="0" w:line="240" w:lineRule="atLeast"/>
              <w:jc w:val="center"/>
              <w:rPr>
                <w:rFonts w:hint="default" w:ascii="Times New Roman" w:hAnsi="Times New Roman" w:eastAsia="宋体" w:cs="Times New Roman"/>
                <w:b/>
                <w:color w:val="auto"/>
                <w:kern w:val="2"/>
                <w:sz w:val="24"/>
                <w:szCs w:val="24"/>
                <w:lang w:val="en-US" w:eastAsia="zh-CN"/>
              </w:rPr>
            </w:pPr>
            <w:r>
              <w:rPr>
                <w:rFonts w:hint="default" w:ascii="Times New Roman" w:hAnsi="Times New Roman" w:eastAsia="宋体" w:cs="Times New Roman"/>
                <w:b/>
                <w:color w:val="auto"/>
                <w:kern w:val="2"/>
                <w:sz w:val="24"/>
                <w:szCs w:val="24"/>
                <w:lang w:val="en-US" w:eastAsia="zh-CN"/>
              </w:rPr>
              <w:t>预防保护对象</w:t>
            </w:r>
          </w:p>
        </w:tc>
        <w:tc>
          <w:tcPr>
            <w:tcW w:w="2093" w:type="pct"/>
            <w:tcBorders>
              <w:top w:val="single" w:color="000000" w:sz="12" w:space="0"/>
              <w:left w:val="single" w:color="000000" w:sz="6" w:space="0"/>
              <w:bottom w:val="single" w:color="000000" w:sz="6" w:space="0"/>
              <w:right w:val="nil"/>
            </w:tcBorders>
            <w:tcMar>
              <w:top w:w="15" w:type="dxa"/>
              <w:left w:w="108" w:type="dxa"/>
              <w:bottom w:w="15" w:type="dxa"/>
              <w:right w:w="108" w:type="dxa"/>
            </w:tcMar>
            <w:vAlign w:val="center"/>
          </w:tcPr>
          <w:p w14:paraId="17B6FA68">
            <w:pPr>
              <w:adjustRightInd w:val="0"/>
              <w:snapToGrid w:val="0"/>
              <w:spacing w:after="0" w:line="240" w:lineRule="atLeast"/>
              <w:jc w:val="center"/>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rPr>
              <w:t>涉及范围</w:t>
            </w:r>
          </w:p>
        </w:tc>
        <w:tc>
          <w:tcPr>
            <w:tcW w:w="1045" w:type="pct"/>
            <w:tcBorders>
              <w:top w:val="single" w:color="000000" w:sz="12" w:space="0"/>
              <w:left w:val="single" w:color="000000" w:sz="6" w:space="0"/>
              <w:bottom w:val="single" w:color="000000" w:sz="6" w:space="0"/>
              <w:right w:val="nil"/>
            </w:tcBorders>
            <w:tcMar>
              <w:top w:w="15" w:type="dxa"/>
              <w:left w:w="108" w:type="dxa"/>
              <w:bottom w:w="15" w:type="dxa"/>
              <w:right w:w="108" w:type="dxa"/>
            </w:tcMar>
            <w:vAlign w:val="center"/>
          </w:tcPr>
          <w:p w14:paraId="63D2EC04">
            <w:pPr>
              <w:adjustRightInd w:val="0"/>
              <w:snapToGrid w:val="0"/>
              <w:spacing w:after="0" w:line="240" w:lineRule="atLeast"/>
              <w:jc w:val="center"/>
              <w:rPr>
                <w:rFonts w:hint="default" w:ascii="Times New Roman" w:hAnsi="Times New Roman" w:eastAsia="宋体" w:cs="Times New Roman"/>
                <w:b/>
                <w:color w:val="auto"/>
                <w:kern w:val="2"/>
                <w:sz w:val="24"/>
                <w:szCs w:val="24"/>
                <w:lang w:val="en-US" w:eastAsia="zh-CN"/>
              </w:rPr>
            </w:pPr>
            <w:r>
              <w:rPr>
                <w:rFonts w:hint="default" w:ascii="Times New Roman" w:hAnsi="Times New Roman" w:eastAsia="宋体" w:cs="Times New Roman"/>
                <w:b/>
                <w:color w:val="auto"/>
                <w:kern w:val="2"/>
                <w:sz w:val="24"/>
                <w:szCs w:val="24"/>
                <w:lang w:val="en-US" w:eastAsia="zh-CN"/>
              </w:rPr>
              <w:t>预防保护</w:t>
            </w:r>
            <w:r>
              <w:rPr>
                <w:rFonts w:hint="default" w:ascii="Times New Roman" w:hAnsi="Times New Roman" w:eastAsia="宋体" w:cs="Times New Roman"/>
                <w:b/>
                <w:color w:val="auto"/>
                <w:kern w:val="2"/>
                <w:sz w:val="24"/>
                <w:szCs w:val="24"/>
              </w:rPr>
              <w:t>面积</w:t>
            </w:r>
            <w:r>
              <w:rPr>
                <w:rFonts w:hint="default" w:ascii="Times New Roman" w:hAnsi="Times New Roman" w:eastAsia="宋体" w:cs="Times New Roman"/>
                <w:b/>
                <w:color w:val="auto"/>
                <w:kern w:val="2"/>
                <w:sz w:val="24"/>
                <w:szCs w:val="24"/>
                <w:lang w:eastAsia="zh-CN"/>
              </w:rPr>
              <w:t>（</w:t>
            </w:r>
            <w:r>
              <w:rPr>
                <w:rFonts w:hint="default" w:ascii="Times New Roman" w:hAnsi="Times New Roman" w:eastAsia="宋体" w:cs="Times New Roman"/>
                <w:b/>
                <w:color w:val="auto"/>
                <w:kern w:val="2"/>
                <w:sz w:val="24"/>
                <w:szCs w:val="24"/>
                <w:lang w:val="en-US" w:eastAsia="zh-CN"/>
              </w:rPr>
              <w:t>km</w:t>
            </w:r>
            <w:r>
              <w:rPr>
                <w:rFonts w:hint="default" w:ascii="Times New Roman" w:hAnsi="Times New Roman" w:eastAsia="宋体" w:cs="Times New Roman"/>
                <w:b/>
                <w:color w:val="auto"/>
                <w:kern w:val="2"/>
                <w:sz w:val="24"/>
                <w:szCs w:val="24"/>
                <w:vertAlign w:val="superscript"/>
                <w:lang w:val="en-US" w:eastAsia="zh-CN"/>
              </w:rPr>
              <w:t>2</w:t>
            </w:r>
            <w:r>
              <w:rPr>
                <w:rFonts w:hint="default" w:ascii="Times New Roman" w:hAnsi="Times New Roman" w:eastAsia="宋体" w:cs="Times New Roman"/>
                <w:b/>
                <w:color w:val="auto"/>
                <w:kern w:val="2"/>
                <w:sz w:val="24"/>
                <w:szCs w:val="24"/>
                <w:lang w:eastAsia="zh-CN"/>
              </w:rPr>
              <w:t>）</w:t>
            </w:r>
          </w:p>
        </w:tc>
      </w:tr>
      <w:tr w14:paraId="4F162EAC">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0" w:type="pct"/>
            <w:vMerge w:val="restart"/>
            <w:tcBorders>
              <w:top w:val="single" w:color="000000" w:sz="6" w:space="0"/>
              <w:left w:val="nil"/>
              <w:right w:val="single" w:color="000000" w:sz="6" w:space="0"/>
            </w:tcBorders>
            <w:vAlign w:val="center"/>
          </w:tcPr>
          <w:p w14:paraId="77FF4F10">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重要生态功能区预防保护</w:t>
            </w:r>
          </w:p>
        </w:tc>
        <w:tc>
          <w:tcPr>
            <w:tcW w:w="1081" w:type="pct"/>
            <w:tcBorders>
              <w:top w:val="single" w:color="000000" w:sz="6" w:space="0"/>
              <w:left w:val="single" w:color="000000" w:sz="6" w:space="0"/>
              <w:bottom w:val="single" w:color="000000" w:sz="6" w:space="0"/>
              <w:right w:val="single" w:color="000000" w:sz="6" w:space="0"/>
            </w:tcBorders>
            <w:tcMar>
              <w:top w:w="15" w:type="dxa"/>
              <w:left w:w="108" w:type="dxa"/>
              <w:bottom w:w="15" w:type="dxa"/>
              <w:right w:w="108" w:type="dxa"/>
            </w:tcMar>
            <w:vAlign w:val="center"/>
          </w:tcPr>
          <w:p w14:paraId="1A92221F">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草海</w:t>
            </w:r>
          </w:p>
        </w:tc>
        <w:tc>
          <w:tcPr>
            <w:tcW w:w="2093" w:type="pct"/>
            <w:tcBorders>
              <w:top w:val="single" w:color="000000" w:sz="6" w:space="0"/>
              <w:left w:val="single" w:color="000000" w:sz="6" w:space="0"/>
              <w:right w:val="nil"/>
            </w:tcBorders>
            <w:tcMar>
              <w:top w:w="15" w:type="dxa"/>
              <w:left w:w="108" w:type="dxa"/>
              <w:bottom w:w="15" w:type="dxa"/>
              <w:right w:w="108" w:type="dxa"/>
            </w:tcMar>
            <w:vAlign w:val="center"/>
          </w:tcPr>
          <w:p w14:paraId="320C40F6">
            <w:pPr>
              <w:adjustRightInd w:val="0"/>
              <w:snapToGrid w:val="0"/>
              <w:spacing w:after="0" w:line="240" w:lineRule="atLeast"/>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威宁（草海镇、双龙乡）</w:t>
            </w:r>
          </w:p>
        </w:tc>
        <w:tc>
          <w:tcPr>
            <w:tcW w:w="1045" w:type="pct"/>
            <w:vMerge w:val="restart"/>
            <w:tcBorders>
              <w:top w:val="single" w:color="000000" w:sz="6" w:space="0"/>
              <w:left w:val="single" w:color="000000" w:sz="6" w:space="0"/>
              <w:right w:val="nil"/>
            </w:tcBorders>
            <w:tcMar>
              <w:top w:w="15" w:type="dxa"/>
              <w:left w:w="108" w:type="dxa"/>
              <w:bottom w:w="15" w:type="dxa"/>
              <w:right w:w="108" w:type="dxa"/>
            </w:tcMar>
            <w:vAlign w:val="center"/>
          </w:tcPr>
          <w:p w14:paraId="6DB54A1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1469</w:t>
            </w:r>
          </w:p>
        </w:tc>
      </w:tr>
      <w:tr w14:paraId="2660745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0" w:type="pct"/>
            <w:vMerge w:val="continue"/>
            <w:tcBorders>
              <w:left w:val="nil"/>
              <w:right w:val="single" w:color="000000" w:sz="6" w:space="0"/>
            </w:tcBorders>
            <w:vAlign w:val="center"/>
          </w:tcPr>
          <w:p w14:paraId="0BB0D141">
            <w:pPr>
              <w:adjustRightInd w:val="0"/>
              <w:snapToGrid w:val="0"/>
              <w:spacing w:after="0" w:line="240" w:lineRule="atLeast"/>
              <w:jc w:val="center"/>
              <w:rPr>
                <w:rFonts w:hint="default" w:ascii="Times New Roman" w:hAnsi="Times New Roman" w:eastAsia="宋体" w:cs="Times New Roman"/>
                <w:color w:val="auto"/>
                <w:kern w:val="2"/>
                <w:sz w:val="24"/>
                <w:szCs w:val="24"/>
              </w:rPr>
            </w:pPr>
          </w:p>
        </w:tc>
        <w:tc>
          <w:tcPr>
            <w:tcW w:w="1081" w:type="pct"/>
            <w:tcBorders>
              <w:top w:val="single" w:color="000000" w:sz="6" w:space="0"/>
              <w:left w:val="single" w:color="000000" w:sz="6" w:space="0"/>
              <w:right w:val="single" w:color="000000" w:sz="6" w:space="0"/>
            </w:tcBorders>
            <w:tcMar>
              <w:top w:w="15" w:type="dxa"/>
              <w:left w:w="108" w:type="dxa"/>
              <w:bottom w:w="15" w:type="dxa"/>
              <w:right w:w="108" w:type="dxa"/>
            </w:tcMar>
            <w:vAlign w:val="center"/>
          </w:tcPr>
          <w:p w14:paraId="17E43844">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梵净山</w:t>
            </w:r>
          </w:p>
        </w:tc>
        <w:tc>
          <w:tcPr>
            <w:tcW w:w="2093" w:type="pct"/>
            <w:tcBorders>
              <w:left w:val="single" w:color="000000" w:sz="6" w:space="0"/>
              <w:right w:val="nil"/>
            </w:tcBorders>
            <w:tcMar>
              <w:top w:w="15" w:type="dxa"/>
              <w:left w:w="108" w:type="dxa"/>
              <w:bottom w:w="15" w:type="dxa"/>
              <w:right w:w="108" w:type="dxa"/>
            </w:tcMar>
            <w:vAlign w:val="center"/>
          </w:tcPr>
          <w:p w14:paraId="4C9D9E2E">
            <w:pPr>
              <w:adjustRightInd w:val="0"/>
              <w:snapToGrid w:val="0"/>
              <w:spacing w:after="0" w:line="240" w:lineRule="atLeast"/>
              <w:jc w:val="both"/>
              <w:rPr>
                <w:rFonts w:hint="default" w:ascii="Times New Roman" w:hAnsi="Times New Roman" w:eastAsia="宋体" w:cs="Times New Roman"/>
                <w:color w:val="auto"/>
                <w:kern w:val="2"/>
                <w:sz w:val="24"/>
                <w:szCs w:val="24"/>
                <w:lang w:eastAsia="zh-CN"/>
              </w:rPr>
            </w:pPr>
            <w:r>
              <w:rPr>
                <w:rFonts w:hint="default" w:ascii="Times New Roman" w:hAnsi="Times New Roman" w:eastAsia="宋体" w:cs="Times New Roman"/>
                <w:color w:val="auto"/>
                <w:kern w:val="2"/>
                <w:sz w:val="24"/>
                <w:szCs w:val="24"/>
                <w:lang w:eastAsia="zh-CN"/>
              </w:rPr>
              <w:t>松桃（乌罗镇）；江口（怒溪乡）；</w:t>
            </w:r>
          </w:p>
          <w:p w14:paraId="4B6CEB12">
            <w:pPr>
              <w:adjustRightInd w:val="0"/>
              <w:snapToGrid w:val="0"/>
              <w:spacing w:after="0" w:line="240" w:lineRule="atLeast"/>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印江（合水乡、新业乡、永义乡）</w:t>
            </w:r>
          </w:p>
        </w:tc>
        <w:tc>
          <w:tcPr>
            <w:tcW w:w="1045" w:type="pct"/>
            <w:vMerge w:val="continue"/>
            <w:tcBorders>
              <w:left w:val="single" w:color="000000" w:sz="6" w:space="0"/>
              <w:right w:val="nil"/>
            </w:tcBorders>
            <w:tcMar>
              <w:top w:w="15" w:type="dxa"/>
              <w:left w:w="108" w:type="dxa"/>
              <w:bottom w:w="15" w:type="dxa"/>
              <w:right w:w="108" w:type="dxa"/>
            </w:tcMar>
            <w:vAlign w:val="center"/>
          </w:tcPr>
          <w:p w14:paraId="6BAC595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485F6D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0" w:type="pct"/>
            <w:vMerge w:val="continue"/>
            <w:tcBorders>
              <w:left w:val="nil"/>
              <w:right w:val="single" w:color="000000" w:sz="6" w:space="0"/>
            </w:tcBorders>
            <w:vAlign w:val="center"/>
          </w:tcPr>
          <w:p w14:paraId="492F1391">
            <w:pPr>
              <w:adjustRightInd w:val="0"/>
              <w:snapToGrid w:val="0"/>
              <w:spacing w:after="0" w:line="240" w:lineRule="atLeast"/>
              <w:jc w:val="center"/>
              <w:rPr>
                <w:rFonts w:hint="default" w:ascii="Times New Roman" w:hAnsi="Times New Roman" w:eastAsia="宋体" w:cs="Times New Roman"/>
                <w:color w:val="auto"/>
                <w:kern w:val="2"/>
                <w:sz w:val="24"/>
                <w:szCs w:val="24"/>
                <w:lang w:eastAsia="zh-CN"/>
              </w:rPr>
            </w:pPr>
          </w:p>
        </w:tc>
        <w:tc>
          <w:tcPr>
            <w:tcW w:w="1081" w:type="pct"/>
            <w:tcBorders>
              <w:top w:val="single" w:color="000000" w:sz="6" w:space="0"/>
              <w:left w:val="single" w:color="000000" w:sz="6" w:space="0"/>
              <w:right w:val="single" w:color="000000" w:sz="6" w:space="0"/>
            </w:tcBorders>
            <w:tcMar>
              <w:top w:w="15" w:type="dxa"/>
              <w:left w:w="108" w:type="dxa"/>
              <w:bottom w:w="15" w:type="dxa"/>
              <w:right w:w="108" w:type="dxa"/>
            </w:tcMar>
            <w:vAlign w:val="center"/>
          </w:tcPr>
          <w:p w14:paraId="0C076C40">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麻阳河</w:t>
            </w:r>
          </w:p>
        </w:tc>
        <w:tc>
          <w:tcPr>
            <w:tcW w:w="2093" w:type="pct"/>
            <w:tcBorders>
              <w:left w:val="single" w:color="000000" w:sz="6" w:space="0"/>
              <w:right w:val="nil"/>
            </w:tcBorders>
            <w:tcMar>
              <w:top w:w="15" w:type="dxa"/>
              <w:left w:w="108" w:type="dxa"/>
              <w:bottom w:w="15" w:type="dxa"/>
              <w:right w:w="108" w:type="dxa"/>
            </w:tcMar>
            <w:vAlign w:val="center"/>
          </w:tcPr>
          <w:p w14:paraId="68D9AE01">
            <w:pPr>
              <w:adjustRightInd w:val="0"/>
              <w:snapToGrid w:val="0"/>
              <w:spacing w:after="0" w:line="240" w:lineRule="atLeast"/>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沿河（黄土乡）；务川（红丝乡）</w:t>
            </w:r>
          </w:p>
        </w:tc>
        <w:tc>
          <w:tcPr>
            <w:tcW w:w="1045" w:type="pct"/>
            <w:vMerge w:val="continue"/>
            <w:tcBorders>
              <w:left w:val="single" w:color="000000" w:sz="6" w:space="0"/>
              <w:right w:val="nil"/>
            </w:tcBorders>
            <w:tcMar>
              <w:top w:w="15" w:type="dxa"/>
              <w:left w:w="108" w:type="dxa"/>
              <w:bottom w:w="15" w:type="dxa"/>
              <w:right w:w="108" w:type="dxa"/>
            </w:tcMar>
            <w:vAlign w:val="center"/>
          </w:tcPr>
          <w:p w14:paraId="2307601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F9421A8">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80" w:type="pct"/>
            <w:vMerge w:val="continue"/>
            <w:tcBorders>
              <w:left w:val="nil"/>
              <w:right w:val="single" w:color="000000" w:sz="6" w:space="0"/>
            </w:tcBorders>
            <w:vAlign w:val="center"/>
          </w:tcPr>
          <w:p w14:paraId="467260A2">
            <w:pPr>
              <w:adjustRightInd w:val="0"/>
              <w:snapToGrid w:val="0"/>
              <w:spacing w:after="0" w:line="240" w:lineRule="atLeast"/>
              <w:jc w:val="center"/>
              <w:rPr>
                <w:rFonts w:hint="default" w:ascii="Times New Roman" w:hAnsi="Times New Roman" w:eastAsia="宋体" w:cs="Times New Roman"/>
                <w:color w:val="auto"/>
                <w:kern w:val="2"/>
                <w:sz w:val="24"/>
                <w:szCs w:val="24"/>
              </w:rPr>
            </w:pPr>
          </w:p>
        </w:tc>
        <w:tc>
          <w:tcPr>
            <w:tcW w:w="1081" w:type="pct"/>
            <w:tcBorders>
              <w:top w:val="single" w:color="000000" w:sz="6" w:space="0"/>
              <w:left w:val="single" w:color="000000" w:sz="6" w:space="0"/>
              <w:bottom w:val="single" w:color="000000" w:sz="12" w:space="0"/>
              <w:right w:val="single" w:color="000000" w:sz="6" w:space="0"/>
            </w:tcBorders>
            <w:tcMar>
              <w:top w:w="15" w:type="dxa"/>
              <w:left w:w="108" w:type="dxa"/>
              <w:bottom w:w="15" w:type="dxa"/>
              <w:right w:w="108" w:type="dxa"/>
            </w:tcMar>
            <w:vAlign w:val="center"/>
          </w:tcPr>
          <w:p w14:paraId="146BEFDE">
            <w:pPr>
              <w:adjustRightInd w:val="0"/>
              <w:snapToGrid w:val="0"/>
              <w:spacing w:after="0" w:line="240" w:lineRule="atLeast"/>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茂兰</w:t>
            </w:r>
          </w:p>
        </w:tc>
        <w:tc>
          <w:tcPr>
            <w:tcW w:w="2093" w:type="pct"/>
            <w:tcBorders>
              <w:left w:val="single" w:color="000000" w:sz="6" w:space="0"/>
              <w:right w:val="nil"/>
            </w:tcBorders>
            <w:tcMar>
              <w:top w:w="15" w:type="dxa"/>
              <w:left w:w="108" w:type="dxa"/>
              <w:bottom w:w="15" w:type="dxa"/>
              <w:right w:w="108" w:type="dxa"/>
            </w:tcMar>
            <w:vAlign w:val="center"/>
          </w:tcPr>
          <w:p w14:paraId="176E5587">
            <w:pPr>
              <w:adjustRightInd w:val="0"/>
              <w:snapToGrid w:val="0"/>
              <w:spacing w:after="0" w:line="240" w:lineRule="atLeast"/>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eastAsia="zh-CN"/>
              </w:rPr>
              <w:t>荔波（捞村乡、永康乡、洞塘乡、翁昂乡）</w:t>
            </w:r>
          </w:p>
        </w:tc>
        <w:tc>
          <w:tcPr>
            <w:tcW w:w="1045" w:type="pct"/>
            <w:vMerge w:val="continue"/>
            <w:tcBorders>
              <w:left w:val="single" w:color="000000" w:sz="6" w:space="0"/>
              <w:right w:val="nil"/>
            </w:tcBorders>
            <w:tcMar>
              <w:top w:w="15" w:type="dxa"/>
              <w:left w:w="108" w:type="dxa"/>
              <w:bottom w:w="15" w:type="dxa"/>
              <w:right w:w="108" w:type="dxa"/>
            </w:tcMar>
            <w:vAlign w:val="center"/>
          </w:tcPr>
          <w:p w14:paraId="13AC228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r>
    </w:tbl>
    <w:p w14:paraId="5A25D805">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40" w:name="_Toc20013"/>
      <w:bookmarkStart w:id="141" w:name="_Toc20367"/>
      <w:r>
        <w:rPr>
          <w:rFonts w:hint="eastAsia" w:ascii="Times New Roman" w:hAnsi="Times New Roman" w:eastAsia="楷体_GB2312" w:cs="Times New Roman"/>
          <w:b/>
          <w:bCs w:val="0"/>
          <w:snapToGrid w:val="0"/>
          <w:color w:val="auto"/>
          <w:kern w:val="2"/>
          <w:sz w:val="30"/>
          <w:szCs w:val="30"/>
          <w:lang w:val="en-US" w:eastAsia="zh-CN" w:bidi="ar-SA"/>
        </w:rPr>
        <w:t>（五）其他重点预防项目</w:t>
      </w:r>
      <w:bookmarkEnd w:id="140"/>
      <w:bookmarkEnd w:id="141"/>
    </w:p>
    <w:p w14:paraId="3FD80E20">
      <w:pPr>
        <w:pStyle w:val="25"/>
        <w:ind w:firstLine="562"/>
        <w:rPr>
          <w:rFonts w:hint="default" w:ascii="Times New Roman" w:hAnsi="Times New Roman" w:eastAsia="宋体" w:cs="Times New Roman"/>
          <w:b w:val="0"/>
          <w:color w:val="auto"/>
          <w:sz w:val="28"/>
          <w:szCs w:val="28"/>
          <w:lang w:eastAsia="zh-CN"/>
        </w:rPr>
      </w:pPr>
      <w:r>
        <w:rPr>
          <w:rFonts w:hint="default" w:ascii="Times New Roman" w:hAnsi="Times New Roman" w:eastAsia="宋体" w:cs="Times New Roman"/>
          <w:b w:val="0"/>
          <w:color w:val="auto"/>
          <w:sz w:val="28"/>
          <w:szCs w:val="28"/>
          <w:lang w:eastAsia="zh-CN"/>
        </w:rPr>
        <w:t>围绕全省“两屏五带三区”的生态安全战略格局，针对上述各项目布局以外区域，以划定的省级水土流失重点预防区为重点，开展面上水土流失重点预防项目，</w:t>
      </w:r>
      <w:r>
        <w:rPr>
          <w:rFonts w:hint="default" w:ascii="Times New Roman" w:hAnsi="Times New Roman" w:eastAsia="宋体" w:cs="Times New Roman"/>
          <w:b w:val="0"/>
          <w:color w:val="auto"/>
          <w:sz w:val="28"/>
          <w:szCs w:val="28"/>
          <w:lang w:val="en-US" w:eastAsia="zh-CN"/>
        </w:rPr>
        <w:t>计划水土流失预防面积1122km</w:t>
      </w:r>
      <w:r>
        <w:rPr>
          <w:rFonts w:hint="default" w:ascii="Times New Roman" w:hAnsi="Times New Roman" w:eastAsia="宋体" w:cs="Times New Roman"/>
          <w:b w:val="0"/>
          <w:color w:val="auto"/>
          <w:sz w:val="28"/>
          <w:szCs w:val="28"/>
          <w:vertAlign w:val="superscript"/>
          <w:lang w:val="en-US" w:eastAsia="zh-CN"/>
        </w:rPr>
        <w:t>2</w:t>
      </w:r>
      <w:r>
        <w:rPr>
          <w:rFonts w:hint="default" w:ascii="Times New Roman" w:hAnsi="Times New Roman" w:eastAsia="宋体" w:cs="Times New Roman"/>
          <w:b w:val="0"/>
          <w:color w:val="auto"/>
          <w:sz w:val="28"/>
          <w:szCs w:val="28"/>
          <w:lang w:eastAsia="zh-CN"/>
        </w:rPr>
        <w:t>。</w:t>
      </w:r>
    </w:p>
    <w:p w14:paraId="48DCF7D2">
      <w:pPr>
        <w:pStyle w:val="25"/>
        <w:ind w:firstLine="562"/>
        <w:rPr>
          <w:rFonts w:hint="default" w:ascii="Times New Roman" w:hAnsi="Times New Roman" w:eastAsia="宋体" w:cs="Times New Roman"/>
          <w:b w:val="0"/>
          <w:color w:val="auto"/>
          <w:sz w:val="28"/>
          <w:szCs w:val="28"/>
          <w:lang w:eastAsia="zh-CN"/>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5C0B2C7">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142" w:name="_Toc22025"/>
      <w:bookmarkStart w:id="143" w:name="_Toc24991"/>
      <w:bookmarkStart w:id="144" w:name="_Toc18738"/>
      <w:bookmarkStart w:id="145" w:name="_Toc3657"/>
      <w:r>
        <w:rPr>
          <w:rFonts w:hint="eastAsia" w:ascii="方正小标宋_GBK" w:hAnsi="Times New Roman" w:eastAsia="方正小标宋_GBK" w:cs="Times New Roman"/>
          <w:b/>
          <w:bCs w:val="0"/>
          <w:color w:val="auto"/>
          <w:kern w:val="44"/>
          <w:sz w:val="36"/>
          <w:szCs w:val="36"/>
          <w:lang w:val="en-US" w:eastAsia="zh-CN" w:bidi="ar-SA"/>
        </w:rPr>
        <w:t>第五章</w:t>
      </w:r>
      <w:r>
        <w:rPr>
          <w:rFonts w:hint="default" w:ascii="方正小标宋_GBK" w:hAnsi="Times New Roman" w:eastAsia="方正小标宋_GBK" w:cs="Times New Roman"/>
          <w:b/>
          <w:bCs w:val="0"/>
          <w:color w:val="auto"/>
          <w:kern w:val="44"/>
          <w:sz w:val="36"/>
          <w:szCs w:val="36"/>
          <w:lang w:val="en-US" w:eastAsia="zh-CN" w:bidi="ar-SA"/>
        </w:rPr>
        <w:t xml:space="preserve"> 水土流失</w:t>
      </w:r>
      <w:r>
        <w:rPr>
          <w:rFonts w:hint="eastAsia" w:ascii="方正小标宋_GBK" w:hAnsi="Times New Roman" w:eastAsia="方正小标宋_GBK" w:cs="Times New Roman"/>
          <w:b/>
          <w:bCs w:val="0"/>
          <w:color w:val="auto"/>
          <w:kern w:val="44"/>
          <w:sz w:val="36"/>
          <w:szCs w:val="36"/>
          <w:lang w:val="en-US" w:eastAsia="zh-CN" w:bidi="ar-SA"/>
        </w:rPr>
        <w:t>治理</w:t>
      </w:r>
      <w:bookmarkEnd w:id="142"/>
      <w:bookmarkEnd w:id="143"/>
      <w:bookmarkEnd w:id="144"/>
      <w:bookmarkEnd w:id="145"/>
    </w:p>
    <w:p w14:paraId="364982A9">
      <w:pPr>
        <w:pStyle w:val="12"/>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b w:val="0"/>
          <w:bCs w:val="0"/>
          <w:color w:val="auto"/>
          <w:sz w:val="28"/>
          <w:szCs w:val="28"/>
          <w:lang w:eastAsia="zh-CN"/>
        </w:rPr>
        <w:t>坚持“综合治理、因地制宜”原则，</w:t>
      </w:r>
      <w:r>
        <w:rPr>
          <w:rFonts w:hint="default" w:ascii="Times New Roman" w:hAnsi="Times New Roman" w:cs="Times New Roman"/>
          <w:b w:val="0"/>
          <w:bCs w:val="0"/>
          <w:color w:val="auto"/>
          <w:sz w:val="28"/>
          <w:szCs w:val="28"/>
          <w:lang w:val="en-US" w:eastAsia="zh-CN"/>
        </w:rPr>
        <w:t>结合水利、林业、农业、自然资源等</w:t>
      </w:r>
      <w:r>
        <w:rPr>
          <w:rFonts w:hint="default" w:ascii="Times New Roman" w:hAnsi="Times New Roman" w:eastAsia="宋体" w:cs="Times New Roman"/>
          <w:b w:val="0"/>
          <w:bCs w:val="0"/>
          <w:color w:val="auto"/>
          <w:sz w:val="28"/>
          <w:szCs w:val="28"/>
          <w:lang w:eastAsia="zh-CN"/>
        </w:rPr>
        <w:t>各类生态建设项目，实施集中、连续和规模治理，合理配置</w:t>
      </w:r>
      <w:r>
        <w:rPr>
          <w:rFonts w:hint="default" w:ascii="Times New Roman" w:hAnsi="Times New Roman" w:cs="Times New Roman"/>
          <w:b w:val="0"/>
          <w:bCs w:val="0"/>
          <w:color w:val="auto"/>
          <w:sz w:val="28"/>
          <w:szCs w:val="28"/>
          <w:lang w:val="en-US" w:eastAsia="zh-CN"/>
        </w:rPr>
        <w:t>水利</w:t>
      </w:r>
      <w:r>
        <w:rPr>
          <w:rFonts w:hint="default" w:ascii="Times New Roman" w:hAnsi="Times New Roman" w:eastAsia="宋体" w:cs="Times New Roman"/>
          <w:b w:val="0"/>
          <w:bCs w:val="0"/>
          <w:color w:val="auto"/>
          <w:sz w:val="28"/>
          <w:szCs w:val="28"/>
          <w:lang w:eastAsia="zh-CN"/>
        </w:rPr>
        <w:t>工程、林草、耕作等措施，形成“山、水、田、林、</w:t>
      </w:r>
      <w:r>
        <w:rPr>
          <w:rFonts w:hint="default" w:ascii="Times New Roman" w:hAnsi="Times New Roman" w:eastAsia="宋体" w:cs="Times New Roman"/>
          <w:b w:val="0"/>
          <w:bCs w:val="0"/>
          <w:color w:val="auto"/>
          <w:sz w:val="28"/>
          <w:szCs w:val="28"/>
          <w:lang w:val="en-US" w:eastAsia="zh-CN"/>
        </w:rPr>
        <w:t>湖</w:t>
      </w:r>
      <w:r>
        <w:rPr>
          <w:rFonts w:hint="default" w:ascii="Times New Roman" w:hAnsi="Times New Roman" w:eastAsia="宋体" w:cs="Times New Roman"/>
          <w:b w:val="0"/>
          <w:bCs w:val="0"/>
          <w:color w:val="auto"/>
          <w:sz w:val="28"/>
          <w:szCs w:val="28"/>
          <w:lang w:eastAsia="zh-CN"/>
        </w:rPr>
        <w:t>、</w:t>
      </w:r>
      <w:r>
        <w:rPr>
          <w:rFonts w:hint="default" w:ascii="Times New Roman" w:hAnsi="Times New Roman" w:eastAsia="宋体" w:cs="Times New Roman"/>
          <w:b w:val="0"/>
          <w:bCs w:val="0"/>
          <w:color w:val="auto"/>
          <w:sz w:val="28"/>
          <w:szCs w:val="28"/>
          <w:lang w:val="en-US" w:eastAsia="zh-CN"/>
        </w:rPr>
        <w:t>草、沙</w:t>
      </w:r>
      <w:r>
        <w:rPr>
          <w:rFonts w:hint="default" w:ascii="Times New Roman" w:hAnsi="Times New Roman" w:eastAsia="宋体" w:cs="Times New Roman"/>
          <w:b w:val="0"/>
          <w:bCs w:val="0"/>
          <w:color w:val="auto"/>
          <w:sz w:val="28"/>
          <w:szCs w:val="28"/>
          <w:lang w:eastAsia="zh-CN"/>
        </w:rPr>
        <w:t>”的综合防治体系，维护和增强区域水土保持功能</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b w:val="0"/>
          <w:bCs w:val="0"/>
          <w:color w:val="auto"/>
          <w:sz w:val="28"/>
          <w:szCs w:val="28"/>
          <w:lang w:val="en-US" w:eastAsia="zh-CN"/>
        </w:rPr>
        <w:t>形成水土保持生态体系</w:t>
      </w:r>
      <w:r>
        <w:rPr>
          <w:rFonts w:hint="default" w:ascii="Times New Roman" w:hAnsi="Times New Roman" w:eastAsia="宋体" w:cs="Times New Roman"/>
          <w:b w:val="0"/>
          <w:bCs w:val="0"/>
          <w:color w:val="auto"/>
          <w:sz w:val="28"/>
          <w:szCs w:val="28"/>
          <w:lang w:eastAsia="zh-CN"/>
        </w:rPr>
        <w:t>。</w:t>
      </w:r>
    </w:p>
    <w:p w14:paraId="49A0033C">
      <w:pPr>
        <w:pStyle w:val="7"/>
        <w:bidi w:val="0"/>
        <w:rPr>
          <w:rFonts w:hint="default" w:ascii="Times New Roman" w:hAnsi="Times New Roman" w:eastAsia="黑体" w:cs="Times New Roman"/>
          <w:color w:val="auto"/>
          <w:sz w:val="32"/>
          <w:szCs w:val="32"/>
          <w:lang w:val="en-US" w:eastAsia="zh-CN"/>
        </w:rPr>
      </w:pPr>
      <w:bookmarkStart w:id="146" w:name="_Toc1413"/>
      <w:bookmarkStart w:id="147" w:name="_Toc23197"/>
      <w:bookmarkStart w:id="148" w:name="_Toc14059"/>
      <w:r>
        <w:rPr>
          <w:rFonts w:hint="default" w:ascii="Times New Roman" w:hAnsi="Times New Roman" w:eastAsia="黑体" w:cs="Times New Roman"/>
          <w:color w:val="auto"/>
          <w:sz w:val="32"/>
          <w:szCs w:val="32"/>
          <w:lang w:val="en-US" w:eastAsia="zh-CN"/>
        </w:rPr>
        <w:t>一、治理范围</w:t>
      </w:r>
      <w:bookmarkEnd w:id="146"/>
      <w:bookmarkEnd w:id="147"/>
      <w:bookmarkEnd w:id="148"/>
    </w:p>
    <w:p w14:paraId="0D99BBCB">
      <w:pPr>
        <w:pStyle w:val="12"/>
        <w:keepNext w:val="0"/>
        <w:keepLines w:val="0"/>
        <w:pageBreakBefore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基于我省水土流失现状分布，主要治理范围为：</w:t>
      </w:r>
    </w:p>
    <w:p w14:paraId="6F6C36E5">
      <w:pPr>
        <w:pStyle w:val="12"/>
        <w:keepNext w:val="0"/>
        <w:keepLines w:val="0"/>
        <w:pageBreakBefore w:val="0"/>
        <w:numPr>
          <w:ilvl w:val="0"/>
          <w:numId w:val="2"/>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全省水土流失重点治理区。根据</w:t>
      </w:r>
      <w:r>
        <w:rPr>
          <w:rFonts w:hint="default" w:ascii="Times New Roman" w:hAnsi="Times New Roman" w:eastAsia="宋体" w:cs="Times New Roman"/>
          <w:color w:val="auto"/>
          <w:sz w:val="28"/>
          <w:szCs w:val="28"/>
        </w:rPr>
        <w:t>《贵州省水土保持规划（2016-2030年）》</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全省水土流失重点治理区涉及74个县（市、区、特区）817个乡镇，其中：国家级水土流失重点治理区涉及47个县（市、区、特区）703个乡镇；省级水土流失重点治理区涉及27个县（市、区、特区）114个乡镇。重点治理区水土流失面积32990.32</w:t>
      </w:r>
      <w:r>
        <w:rPr>
          <w:rFonts w:hint="default" w:ascii="Times New Roman" w:hAnsi="Times New Roman" w:eastAsia="宋体"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，其中国家级29554.51</w:t>
      </w:r>
      <w:r>
        <w:rPr>
          <w:rFonts w:hint="default" w:ascii="Times New Roman" w:hAnsi="Times New Roman" w:eastAsia="宋体"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，省级3435.81</w:t>
      </w:r>
      <w:r>
        <w:rPr>
          <w:rFonts w:hint="default" w:ascii="Times New Roman" w:hAnsi="Times New Roman" w:eastAsia="宋体" w:cs="Times New Roman"/>
          <w:b w:val="0"/>
          <w:bCs/>
          <w:color w:val="auto"/>
          <w:kern w:val="2"/>
          <w:sz w:val="28"/>
          <w:szCs w:val="28"/>
          <w:lang w:val="en-US" w:eastAsia="zh-CN"/>
        </w:rPr>
        <w:t>平方公里</w:t>
      </w:r>
      <w:r>
        <w:rPr>
          <w:rFonts w:hint="default" w:ascii="Times New Roman" w:hAnsi="Times New Roman" w:eastAsia="宋体" w:cs="Times New Roman"/>
          <w:color w:val="auto"/>
          <w:sz w:val="28"/>
          <w:szCs w:val="28"/>
          <w:lang w:val="en-US" w:eastAsia="zh-CN"/>
        </w:rPr>
        <w:t>。</w:t>
      </w:r>
    </w:p>
    <w:p w14:paraId="2C237428">
      <w:pPr>
        <w:pStyle w:val="12"/>
        <w:keepNext w:val="0"/>
        <w:keepLines w:val="0"/>
        <w:pageBreakBefore w:val="0"/>
        <w:numPr>
          <w:ilvl w:val="0"/>
          <w:numId w:val="2"/>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全省水土流失重点预防区内局部水土流失严重的区域。</w:t>
      </w:r>
    </w:p>
    <w:p w14:paraId="64E7C2B5">
      <w:pPr>
        <w:pStyle w:val="12"/>
        <w:keepNext w:val="0"/>
        <w:keepLines w:val="0"/>
        <w:pageBreakBefore w:val="0"/>
        <w:numPr>
          <w:ilvl w:val="0"/>
          <w:numId w:val="2"/>
        </w:numPr>
        <w:kinsoku/>
        <w:wordWrap/>
        <w:overflowPunct/>
        <w:topLinePunct w:val="0"/>
        <w:autoSpaceDE/>
        <w:autoSpaceDN/>
        <w:bidi w:val="0"/>
        <w:adjustRightInd/>
        <w:snapToGrid/>
        <w:ind w:firstLine="560" w:firstLineChars="200"/>
        <w:jc w:val="both"/>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未纳入国家及省级水土流失重点治理区但水土流失程度高、集中连片、危害大、具有一定规模的其他区域，包括乌江、沅江、赤水河、牛栏江—横江、南北盘江、红水河、都柳江等重点河流生态保护区域；湖库淤积影响较大的水土流失区域；造成土地生产力下降，直接影响农业生产和农村生活，需开展土地资源抢救性、保护性治理的区域；涉及我省苗岭、大娄山、乌蒙山、武陵山四大山脉生态廊道、革命老区、少数民族聚居区等特定区域；水土流失严重、急需改善生产生活条件和提高群众收入的区域。</w:t>
      </w:r>
    </w:p>
    <w:p w14:paraId="1D3FBA4C">
      <w:pPr>
        <w:pStyle w:val="7"/>
        <w:bidi w:val="0"/>
        <w:rPr>
          <w:rFonts w:hint="default" w:ascii="Times New Roman" w:hAnsi="Times New Roman" w:eastAsia="黑体" w:cs="Times New Roman"/>
          <w:color w:val="auto"/>
          <w:sz w:val="32"/>
          <w:szCs w:val="32"/>
          <w:lang w:val="en-US" w:eastAsia="zh-CN"/>
        </w:rPr>
      </w:pPr>
      <w:bookmarkStart w:id="149" w:name="_Toc278"/>
      <w:bookmarkStart w:id="150" w:name="_Toc18104"/>
      <w:bookmarkStart w:id="151" w:name="_Toc17921"/>
      <w:r>
        <w:rPr>
          <w:rFonts w:hint="default" w:ascii="Times New Roman" w:hAnsi="Times New Roman" w:eastAsia="黑体" w:cs="Times New Roman"/>
          <w:color w:val="auto"/>
          <w:sz w:val="32"/>
          <w:szCs w:val="32"/>
          <w:lang w:val="en-US" w:eastAsia="zh-CN"/>
        </w:rPr>
        <w:t>二、治理对象</w:t>
      </w:r>
      <w:bookmarkEnd w:id="149"/>
      <w:bookmarkEnd w:id="150"/>
      <w:bookmarkEnd w:id="151"/>
    </w:p>
    <w:p w14:paraId="0FDDD286">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对</w:t>
      </w:r>
      <w:r>
        <w:rPr>
          <w:rFonts w:hint="default" w:ascii="Times New Roman" w:hAnsi="Times New Roman" w:cs="Times New Roman"/>
          <w:color w:val="auto"/>
          <w:sz w:val="28"/>
          <w:szCs w:val="28"/>
          <w:lang w:val="en-US" w:eastAsia="zh-CN"/>
        </w:rPr>
        <w:t>治理范围内</w:t>
      </w:r>
      <w:r>
        <w:rPr>
          <w:rFonts w:hint="default" w:ascii="Times New Roman" w:hAnsi="Times New Roman" w:eastAsia="宋体" w:cs="Times New Roman"/>
          <w:color w:val="auto"/>
          <w:sz w:val="28"/>
          <w:szCs w:val="28"/>
          <w:lang w:eastAsia="zh-CN"/>
        </w:rPr>
        <w:t>水土流失严重、影响当地社会生态环境和潜在危害的区域</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如</w:t>
      </w:r>
      <w:r>
        <w:rPr>
          <w:rFonts w:hint="default" w:ascii="Times New Roman" w:hAnsi="Times New Roman" w:eastAsia="宋体" w:cs="Times New Roman"/>
          <w:color w:val="auto"/>
          <w:sz w:val="28"/>
          <w:szCs w:val="28"/>
          <w:lang w:eastAsia="zh-CN"/>
        </w:rPr>
        <w:t>坡耕地、石漠化</w:t>
      </w:r>
      <w:r>
        <w:rPr>
          <w:rFonts w:hint="default" w:ascii="Times New Roman" w:hAnsi="Times New Roman" w:cs="Times New Roman"/>
          <w:color w:val="auto"/>
          <w:sz w:val="28"/>
          <w:szCs w:val="28"/>
          <w:lang w:val="en-US" w:eastAsia="zh-CN"/>
        </w:rPr>
        <w:t>地</w:t>
      </w:r>
      <w:r>
        <w:rPr>
          <w:rFonts w:hint="default" w:ascii="Times New Roman" w:hAnsi="Times New Roman" w:eastAsia="宋体" w:cs="Times New Roman"/>
          <w:color w:val="auto"/>
          <w:sz w:val="28"/>
          <w:szCs w:val="28"/>
          <w:lang w:eastAsia="zh-CN"/>
        </w:rPr>
        <w:t>、沟道、</w:t>
      </w:r>
      <w:r>
        <w:rPr>
          <w:rFonts w:hint="default" w:ascii="Times New Roman" w:hAnsi="Times New Roman" w:cs="Times New Roman"/>
          <w:color w:val="auto"/>
          <w:sz w:val="28"/>
          <w:szCs w:val="28"/>
          <w:lang w:val="en-US" w:eastAsia="zh-CN"/>
        </w:rPr>
        <w:t>园地、</w:t>
      </w:r>
      <w:r>
        <w:rPr>
          <w:rFonts w:hint="default" w:ascii="Times New Roman" w:hAnsi="Times New Roman" w:eastAsia="宋体" w:cs="Times New Roman"/>
          <w:color w:val="auto"/>
          <w:sz w:val="28"/>
          <w:szCs w:val="28"/>
          <w:lang w:eastAsia="zh-CN"/>
        </w:rPr>
        <w:t>疏幼林地及其他水土流失严重地块</w:t>
      </w:r>
      <w:r>
        <w:rPr>
          <w:rFonts w:hint="default" w:ascii="Times New Roman" w:hAnsi="Times New Roman" w:cs="Times New Roman"/>
          <w:color w:val="auto"/>
          <w:sz w:val="28"/>
          <w:szCs w:val="28"/>
          <w:lang w:val="en-US" w:eastAsia="zh-CN"/>
        </w:rPr>
        <w:t>等</w:t>
      </w:r>
      <w:r>
        <w:rPr>
          <w:rFonts w:hint="default" w:ascii="Times New Roman" w:hAnsi="Times New Roman" w:eastAsia="宋体" w:cs="Times New Roman"/>
          <w:color w:val="auto"/>
          <w:sz w:val="28"/>
          <w:szCs w:val="28"/>
          <w:lang w:eastAsia="zh-CN"/>
        </w:rPr>
        <w:t>作为治理对象。</w:t>
      </w:r>
    </w:p>
    <w:p w14:paraId="655F8354">
      <w:pPr>
        <w:pStyle w:val="7"/>
        <w:bidi w:val="0"/>
        <w:rPr>
          <w:rFonts w:hint="default" w:ascii="Times New Roman" w:hAnsi="Times New Roman" w:eastAsia="黑体" w:cs="Times New Roman"/>
          <w:color w:val="auto"/>
          <w:sz w:val="32"/>
          <w:szCs w:val="32"/>
          <w:lang w:val="en-US" w:eastAsia="zh-CN"/>
        </w:rPr>
      </w:pPr>
      <w:bookmarkStart w:id="152" w:name="_Toc6527"/>
      <w:bookmarkStart w:id="153" w:name="_Toc8455"/>
      <w:bookmarkStart w:id="154" w:name="_Toc20341"/>
      <w:r>
        <w:rPr>
          <w:rFonts w:hint="default" w:ascii="Times New Roman" w:hAnsi="Times New Roman" w:eastAsia="黑体" w:cs="Times New Roman"/>
          <w:color w:val="auto"/>
          <w:sz w:val="32"/>
          <w:szCs w:val="32"/>
          <w:lang w:val="en-US" w:eastAsia="zh-CN"/>
        </w:rPr>
        <w:t>三、措施</w:t>
      </w:r>
      <w:bookmarkEnd w:id="152"/>
      <w:bookmarkEnd w:id="153"/>
      <w:r>
        <w:rPr>
          <w:rFonts w:hint="default" w:ascii="Times New Roman" w:hAnsi="Times New Roman" w:eastAsia="黑体" w:cs="Times New Roman"/>
          <w:color w:val="auto"/>
          <w:sz w:val="32"/>
          <w:szCs w:val="32"/>
          <w:lang w:val="en-US" w:eastAsia="zh-CN"/>
        </w:rPr>
        <w:t>体系</w:t>
      </w:r>
      <w:bookmarkEnd w:id="154"/>
    </w:p>
    <w:p w14:paraId="3074EFD7">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bookmarkStart w:id="155" w:name="_Toc19833"/>
      <w:r>
        <w:rPr>
          <w:rFonts w:hint="default" w:ascii="Times New Roman" w:hAnsi="Times New Roman" w:eastAsia="宋体" w:cs="Times New Roman"/>
          <w:color w:val="auto"/>
          <w:kern w:val="2"/>
          <w:sz w:val="28"/>
          <w:szCs w:val="28"/>
          <w:lang w:val="en-US" w:eastAsia="zh-CN" w:bidi="ar-SA"/>
        </w:rPr>
        <w:t>（1）小流域综合治理</w:t>
      </w:r>
    </w:p>
    <w:p w14:paraId="75BC5722">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以小流域为单元，将水土流失治理与乡村振兴、流域治理和生态产业发展等紧密结合，统筹推进山水林田湖草系统治理，建设生态宜居小流域和生态产业小流域。在生态屏障区、重要水源地、城镇周边和重要河流的一级支流，将水土流失治理与水资源保护、水环境整治、面源污染防治、人居环境整治等融为一体，按照构筑“生态修复、生态治理、生态保护”三道防线理念，大力推进生态清洁小流域建设。全面提高治理标准和水平，增强水土保持综合效益，充分发挥小流域综合治理的示范带动效应。</w:t>
      </w:r>
    </w:p>
    <w:p w14:paraId="4A3E8541">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（2）坡耕地治理</w:t>
      </w:r>
      <w:bookmarkEnd w:id="155"/>
    </w:p>
    <w:p w14:paraId="40B9E5AC">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根据不同条件，采取坡改梯、保土耕作、聚拢免耕、护梗植物篱、撒播绿肥等措施，加强坡面蓄、排、引、灌等水系工程建设和田间道路建设。优化水土资源配置，提高土地生产能力，有效改善农业生产条件和农村基础设施，助推现代山地特色高效农业发展。</w:t>
      </w:r>
    </w:p>
    <w:p w14:paraId="7DC05FD7">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bookmarkStart w:id="156" w:name="_Toc31729"/>
      <w:r>
        <w:rPr>
          <w:rFonts w:hint="default" w:ascii="Times New Roman" w:hAnsi="Times New Roman" w:eastAsia="宋体" w:cs="Times New Roman"/>
          <w:color w:val="auto"/>
          <w:kern w:val="2"/>
          <w:sz w:val="28"/>
          <w:szCs w:val="28"/>
          <w:lang w:val="en-US" w:eastAsia="zh-CN" w:bidi="ar-SA"/>
        </w:rPr>
        <w:t>（3）石漠化治理</w:t>
      </w:r>
      <w:bookmarkEnd w:id="156"/>
    </w:p>
    <w:p w14:paraId="7E3755CB">
      <w:pPr>
        <w:spacing w:line="594" w:lineRule="exact"/>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kern w:val="2"/>
          <w:sz w:val="28"/>
          <w:szCs w:val="28"/>
          <w:lang w:val="en-US" w:eastAsia="zh-CN" w:bidi="ar-SA"/>
        </w:rPr>
        <w:t>加大植被保护与修复，严格保护石山植被，科学封山育林育草和造林种草，提升植被质量。科学开展石漠化治理，推广优良树种草种、困难立地造林种草技术。强化石漠化分类治理，对重度以上石漠化区域，以封山育林育草为主，增加林草植被。中度石漠化区域，适度开展植树造林、人工种草和草地改良，调整种植业结构。轻度石漠化区域，推广生态经济型综合治理模式，在恢复林草植被的同时发展林业经济和草食畜牧业。</w:t>
      </w:r>
    </w:p>
    <w:p w14:paraId="29D0AC00">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bookmarkStart w:id="157" w:name="_Toc27212"/>
      <w:r>
        <w:rPr>
          <w:rFonts w:hint="default" w:ascii="Times New Roman" w:hAnsi="Times New Roman" w:eastAsia="宋体" w:cs="Times New Roman"/>
          <w:color w:val="auto"/>
          <w:kern w:val="2"/>
          <w:sz w:val="28"/>
          <w:szCs w:val="28"/>
          <w:lang w:val="en-US" w:eastAsia="zh-CN" w:bidi="ar-SA"/>
        </w:rPr>
        <w:t>（4）林地草原保护</w:t>
      </w:r>
    </w:p>
    <w:p w14:paraId="4CA598FE">
      <w:pPr>
        <w:spacing w:line="594" w:lineRule="exact"/>
        <w:ind w:firstLine="560" w:firstLineChars="200"/>
        <w:rPr>
          <w:rFonts w:hint="default" w:ascii="Times New Roman" w:hAnsi="Times New Roman" w:cs="Times New Roman"/>
          <w:color w:val="auto"/>
          <w:sz w:val="28"/>
          <w:szCs w:val="28"/>
          <w:lang w:val="en-US" w:eastAsia="zh-CN"/>
        </w:rPr>
      </w:pPr>
      <w:r>
        <w:rPr>
          <w:rFonts w:hint="default" w:ascii="Times New Roman" w:hAnsi="Times New Roman" w:eastAsia="宋体" w:cs="Times New Roman"/>
          <w:color w:val="auto"/>
          <w:kern w:val="2"/>
          <w:sz w:val="28"/>
          <w:szCs w:val="28"/>
          <w:lang w:val="en-US" w:eastAsia="zh-CN" w:bidi="ar-SA"/>
        </w:rPr>
        <w:t>对林分结构和稳定性失调，林木生长发育迟滞，系统功能退化或丧失，导致森林生态功能、林产品产量或生物量显著低下的低产林分进行改造。加快退化林修复，根据不同退化程度选择更替、择伐、抚育等相应改造措施。按照森林演替规律和林分发育阶段，全面推进中幼龄林抚育。对密度过大、林木竞争激烈的林分，采取抚育间伐等措施；对密度过疏、目的树种缺乏、天然更新不良的林分，通过补植补造、促进天然更新等抚育措施；对遭受有害生物侵害等受损林分，采取卫生伐、补植补造等综合抚育措施；对新造幼林，加大割灌除草等抚育措施。</w:t>
      </w:r>
    </w:p>
    <w:p w14:paraId="0929FFEA">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（5）矿山生态修复</w:t>
      </w:r>
    </w:p>
    <w:p w14:paraId="7CD4DA6F">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加强重要流域、重点河湖、重要生态功能区以及矿山资源集中开发区生态修复。推行“资源+生态修复”，对因矿山开采造成的山体缺口和矿山疤痕补绿修复，综合考虑矿区气候、土壤条件、植被品种近期表现及长期优势、植被生物学特性等因素，优先选择成活率高、速生、固土效果好、根系发达的植被，保证植被恢复技术应用效果。在植被恢复措施实施的基础上，结合边坡稳定程度，采用石砌护坡、植被护坡的措施，保证边坡稳定，同时辅以截排水、沉沙过滤设施布置，起到排水拦渣的作用，防治水土流失和山地灾害，逐步恢复矿山生态环境的良好状态。</w:t>
      </w:r>
    </w:p>
    <w:p w14:paraId="16E489E2">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（6）土地综合整治</w:t>
      </w:r>
    </w:p>
    <w:p w14:paraId="10597362">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以科学合理规划为前提，以乡镇为基本单元，通过整治垦复、平坟复田、地块合并、农田平整、明渠改暗渠、坡地改梯田等措施整体推进农用地整理、建设用地整理和乡村生态保护修复，优化生产、生活、生态空间格局，促进耕地保护和土地集约节约利用，改善农村人居环境，助推乡村全面振兴。</w:t>
      </w:r>
    </w:p>
    <w:p w14:paraId="37EFE02E">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（7）高标准农田建设</w:t>
      </w:r>
    </w:p>
    <w:p w14:paraId="16F8D9D4">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通过土方工程、秸秆还田、土壤改良、植(织)物防护、防护林、水土保持及苗圃等工程措施，提高了耕地质量，增加了耕地面积，从而扩大了农民的利益，确保我国的粮食产量和粮食安全。</w:t>
      </w:r>
    </w:p>
    <w:p w14:paraId="0E662586">
      <w:pPr>
        <w:spacing w:line="594" w:lineRule="exact"/>
        <w:ind w:firstLine="560" w:firstLineChars="200"/>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color w:val="auto"/>
          <w:kern w:val="2"/>
          <w:sz w:val="28"/>
          <w:szCs w:val="28"/>
          <w:lang w:val="en-US" w:eastAsia="zh-CN" w:bidi="ar-SA"/>
        </w:rPr>
        <w:t>（8）沟（河）道及湖库周边</w:t>
      </w:r>
      <w:bookmarkEnd w:id="157"/>
    </w:p>
    <w:p w14:paraId="1F7B8226">
      <w:pPr>
        <w:spacing w:line="594" w:lineRule="exact"/>
        <w:ind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通过河道清淤及护岸、沟道防护、湿地恢复、缓冲过滤带建设等措施，提高过滤作用，控制入河（湖、库）的泥沙及面源污染物，保护和改善水生态环境。</w:t>
      </w:r>
    </w:p>
    <w:p w14:paraId="59843F9D">
      <w:pPr>
        <w:pStyle w:val="7"/>
        <w:bidi w:val="0"/>
        <w:rPr>
          <w:rFonts w:hint="default" w:ascii="Times New Roman" w:hAnsi="Times New Roman" w:eastAsia="黑体" w:cs="Times New Roman"/>
          <w:color w:val="auto"/>
          <w:sz w:val="32"/>
          <w:szCs w:val="32"/>
          <w:lang w:val="en-US" w:eastAsia="zh-CN"/>
        </w:rPr>
      </w:pPr>
      <w:bookmarkStart w:id="158" w:name="_Toc9232"/>
      <w:bookmarkStart w:id="159" w:name="_Toc6326"/>
      <w:r>
        <w:rPr>
          <w:rFonts w:hint="default" w:ascii="Times New Roman" w:hAnsi="Times New Roman" w:eastAsia="黑体" w:cs="Times New Roman"/>
          <w:color w:val="auto"/>
          <w:sz w:val="32"/>
          <w:szCs w:val="32"/>
          <w:lang w:val="en-US" w:eastAsia="zh-CN"/>
        </w:rPr>
        <w:t>四、治理任务</w:t>
      </w:r>
      <w:bookmarkEnd w:id="158"/>
      <w:bookmarkEnd w:id="159"/>
    </w:p>
    <w:p w14:paraId="7EA040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kern w:val="2"/>
          <w:sz w:val="28"/>
          <w:szCs w:val="28"/>
          <w:lang w:val="en-US" w:eastAsia="zh-CN" w:bidi="ar-SA"/>
        </w:rPr>
        <w:t>“十四五”期间，全省计划新增水土流失治理面积14900平方公里，水土保持率提高至75.05%。</w:t>
      </w:r>
      <w:r>
        <w:rPr>
          <w:rFonts w:hint="default" w:ascii="Times New Roman" w:hAnsi="Times New Roman" w:cs="Times New Roman"/>
          <w:color w:val="auto"/>
          <w:sz w:val="28"/>
          <w:szCs w:val="28"/>
          <w:lang w:val="en-US" w:eastAsia="zh-CN"/>
        </w:rPr>
        <w:t>根据乡村振兴和生态文明建设需求，全省水土流失治理由</w:t>
      </w:r>
      <w:r>
        <w:rPr>
          <w:rFonts w:hint="default" w:ascii="Times New Roman" w:hAnsi="Times New Roman" w:eastAsia="宋体" w:cs="Times New Roman"/>
          <w:color w:val="auto"/>
          <w:sz w:val="28"/>
          <w:szCs w:val="28"/>
          <w:lang w:eastAsia="zh-CN"/>
        </w:rPr>
        <w:t>各级政府牵头抓总，统筹协调</w:t>
      </w:r>
      <w:r>
        <w:rPr>
          <w:rFonts w:hint="default" w:ascii="Times New Roman" w:hAnsi="Times New Roman" w:eastAsia="宋体" w:cs="Times New Roman"/>
          <w:color w:val="auto"/>
          <w:sz w:val="28"/>
          <w:szCs w:val="28"/>
          <w:lang w:val="en-US" w:eastAsia="zh-CN"/>
        </w:rPr>
        <w:t>水利、林业、自然资源和农业等各行各业及社会力量</w:t>
      </w:r>
      <w:r>
        <w:rPr>
          <w:rFonts w:hint="default" w:ascii="Times New Roman" w:hAnsi="Times New Roman" w:cs="Times New Roman"/>
          <w:color w:val="auto"/>
          <w:sz w:val="28"/>
          <w:szCs w:val="28"/>
          <w:lang w:val="en-US" w:eastAsia="zh-CN"/>
        </w:rPr>
        <w:t>共同完成，具体任务分解详见表5-1</w:t>
      </w:r>
      <w:r>
        <w:rPr>
          <w:rFonts w:hint="default" w:ascii="Times New Roman" w:hAnsi="Times New Roman" w:eastAsia="宋体" w:cs="Times New Roman"/>
          <w:color w:val="auto"/>
          <w:sz w:val="28"/>
          <w:szCs w:val="28"/>
          <w:lang w:val="en-US" w:eastAsia="zh-CN"/>
        </w:rPr>
        <w:t>。</w:t>
      </w:r>
    </w:p>
    <w:p w14:paraId="1DA7C214">
      <w:pPr>
        <w:keepNext w:val="0"/>
        <w:keepLines w:val="0"/>
        <w:pageBreakBefore w:val="0"/>
        <w:widowControl w:val="0"/>
        <w:kinsoku/>
        <w:wordWrap/>
        <w:overflowPunct/>
        <w:topLinePunct w:val="0"/>
        <w:autoSpaceDE/>
        <w:autoSpaceDN/>
        <w:bidi w:val="0"/>
        <w:adjustRightInd/>
        <w:snapToGrid w:val="0"/>
        <w:spacing w:before="120" w:after="0" w:line="240" w:lineRule="auto"/>
        <w:jc w:val="both"/>
        <w:textAlignment w:val="auto"/>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表</w:t>
      </w:r>
      <w:r>
        <w:rPr>
          <w:rFonts w:hint="default" w:ascii="Times New Roman" w:hAnsi="Times New Roman" w:eastAsia="宋体" w:cs="Times New Roman"/>
          <w:b/>
          <w:bCs/>
          <w:color w:val="auto"/>
          <w:sz w:val="28"/>
          <w:szCs w:val="28"/>
          <w:lang w:val="en-US" w:eastAsia="zh-CN"/>
        </w:rPr>
        <w:t xml:space="preserve">5-1    </w:t>
      </w:r>
      <w:r>
        <w:rPr>
          <w:rFonts w:hint="default" w:ascii="Times New Roman" w:hAnsi="Times New Roman" w:eastAsia="宋体" w:cs="Times New Roman"/>
          <w:b/>
          <w:bCs/>
          <w:color w:val="auto"/>
          <w:sz w:val="28"/>
          <w:szCs w:val="28"/>
          <w:lang w:eastAsia="zh-CN"/>
        </w:rPr>
        <w:t xml:space="preserve">  “</w:t>
      </w:r>
      <w:r>
        <w:rPr>
          <w:rFonts w:hint="default" w:ascii="Times New Roman" w:hAnsi="Times New Roman" w:eastAsia="宋体" w:cs="Times New Roman"/>
          <w:b/>
          <w:bCs/>
          <w:color w:val="auto"/>
          <w:sz w:val="28"/>
          <w:szCs w:val="28"/>
          <w:lang w:val="en-US" w:eastAsia="zh-CN"/>
        </w:rPr>
        <w:t>十四五</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lang w:val="en-US" w:eastAsia="zh-CN"/>
        </w:rPr>
        <w:t>期间各部门水土流失治理任务分解</w:t>
      </w:r>
      <w:r>
        <w:rPr>
          <w:rFonts w:hint="default" w:ascii="Times New Roman" w:hAnsi="Times New Roman" w:eastAsia="宋体" w:cs="Times New Roman"/>
          <w:b/>
          <w:bCs/>
          <w:color w:val="auto"/>
          <w:sz w:val="28"/>
          <w:szCs w:val="28"/>
          <w:lang w:eastAsia="zh-CN"/>
        </w:rPr>
        <w:t>表</w:t>
      </w:r>
    </w:p>
    <w:tbl>
      <w:tblPr>
        <w:tblStyle w:val="19"/>
        <w:tblW w:w="5261"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82"/>
        <w:gridCol w:w="3399"/>
        <w:gridCol w:w="1575"/>
        <w:gridCol w:w="2812"/>
      </w:tblGrid>
      <w:tr w14:paraId="3ED597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tcBorders>
              <w:tl2br w:val="nil"/>
              <w:tr2bl w:val="nil"/>
            </w:tcBorders>
            <w:shd w:val="clear" w:color="auto" w:fill="auto"/>
            <w:noWrap/>
            <w:vAlign w:val="center"/>
          </w:tcPr>
          <w:p w14:paraId="362FBF8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29"/>
                <w:rFonts w:hint="default" w:ascii="Times New Roman" w:hAnsi="Times New Roman" w:eastAsia="宋体" w:cs="Times New Roman"/>
                <w:color w:val="auto"/>
                <w:sz w:val="24"/>
                <w:szCs w:val="24"/>
                <w:lang w:val="en-US" w:eastAsia="zh-CN" w:bidi="ar"/>
              </w:rPr>
              <w:t>部门</w:t>
            </w:r>
          </w:p>
        </w:tc>
        <w:tc>
          <w:tcPr>
            <w:tcW w:w="1895" w:type="pct"/>
            <w:tcBorders>
              <w:tl2br w:val="nil"/>
              <w:tr2bl w:val="nil"/>
            </w:tcBorders>
            <w:shd w:val="clear" w:color="auto" w:fill="auto"/>
            <w:vAlign w:val="center"/>
          </w:tcPr>
          <w:p w14:paraId="0EFADDA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项目类别</w:t>
            </w:r>
          </w:p>
        </w:tc>
        <w:tc>
          <w:tcPr>
            <w:tcW w:w="878" w:type="pct"/>
            <w:tcBorders>
              <w:tl2br w:val="nil"/>
              <w:tr2bl w:val="nil"/>
            </w:tcBorders>
            <w:shd w:val="clear" w:color="auto" w:fill="auto"/>
            <w:vAlign w:val="center"/>
          </w:tcPr>
          <w:p w14:paraId="4047F6E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Style w:val="29"/>
                <w:rFonts w:hint="default" w:ascii="Times New Roman" w:hAnsi="Times New Roman" w:eastAsia="宋体" w:cs="Times New Roman"/>
                <w:color w:val="auto"/>
                <w:sz w:val="24"/>
                <w:szCs w:val="24"/>
                <w:lang w:val="en-US" w:eastAsia="zh-CN" w:bidi="ar"/>
              </w:rPr>
              <w:t>治理面积</w:t>
            </w:r>
            <w:r>
              <w:rPr>
                <w:rStyle w:val="30"/>
                <w:rFonts w:hint="default" w:ascii="Times New Roman" w:hAnsi="Times New Roman" w:eastAsia="宋体" w:cs="Times New Roman"/>
                <w:color w:val="auto"/>
                <w:sz w:val="24"/>
                <w:szCs w:val="24"/>
                <w:lang w:val="en-US" w:eastAsia="zh-CN" w:bidi="ar"/>
              </w:rPr>
              <w:br w:type="textWrapping"/>
            </w:r>
            <w:r>
              <w:rPr>
                <w:rStyle w:val="29"/>
                <w:rFonts w:hint="default" w:ascii="Times New Roman" w:hAnsi="Times New Roman" w:eastAsia="宋体" w:cs="Times New Roman"/>
                <w:color w:val="auto"/>
                <w:sz w:val="24"/>
                <w:szCs w:val="24"/>
                <w:lang w:val="en-US" w:eastAsia="zh-CN" w:bidi="ar"/>
              </w:rPr>
              <w:t>（平方公里）</w:t>
            </w:r>
          </w:p>
        </w:tc>
        <w:tc>
          <w:tcPr>
            <w:tcW w:w="1567" w:type="pct"/>
            <w:tcBorders>
              <w:tl2br w:val="nil"/>
              <w:tr2bl w:val="nil"/>
            </w:tcBorders>
            <w:shd w:val="clear" w:color="auto" w:fill="auto"/>
            <w:noWrap/>
            <w:vAlign w:val="center"/>
          </w:tcPr>
          <w:p w14:paraId="4561505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任务来源</w:t>
            </w:r>
          </w:p>
        </w:tc>
      </w:tr>
      <w:tr w14:paraId="5A1B2A3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restart"/>
            <w:tcBorders>
              <w:tl2br w:val="nil"/>
              <w:tr2bl w:val="nil"/>
            </w:tcBorders>
            <w:shd w:val="clear" w:color="auto" w:fill="auto"/>
            <w:noWrap/>
            <w:vAlign w:val="center"/>
          </w:tcPr>
          <w:p w14:paraId="57123F0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水利</w:t>
            </w:r>
          </w:p>
        </w:tc>
        <w:tc>
          <w:tcPr>
            <w:tcW w:w="1895" w:type="pct"/>
            <w:tcBorders>
              <w:tl2br w:val="nil"/>
              <w:tr2bl w:val="nil"/>
            </w:tcBorders>
            <w:shd w:val="clear" w:color="auto" w:fill="auto"/>
            <w:noWrap/>
            <w:vAlign w:val="center"/>
          </w:tcPr>
          <w:p w14:paraId="3082812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国家水土保持重点工程</w:t>
            </w:r>
          </w:p>
        </w:tc>
        <w:tc>
          <w:tcPr>
            <w:tcW w:w="878" w:type="pct"/>
            <w:tcBorders>
              <w:tl2br w:val="nil"/>
              <w:tr2bl w:val="nil"/>
            </w:tcBorders>
            <w:shd w:val="clear" w:color="auto" w:fill="auto"/>
            <w:noWrap/>
            <w:vAlign w:val="center"/>
          </w:tcPr>
          <w:p w14:paraId="671BB49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2400</w:t>
            </w:r>
          </w:p>
        </w:tc>
        <w:tc>
          <w:tcPr>
            <w:tcW w:w="1567" w:type="pct"/>
            <w:vMerge w:val="restart"/>
            <w:tcBorders>
              <w:tl2br w:val="nil"/>
              <w:tr2bl w:val="nil"/>
            </w:tcBorders>
            <w:shd w:val="clear" w:color="auto" w:fill="auto"/>
            <w:vAlign w:val="center"/>
          </w:tcPr>
          <w:p w14:paraId="7BC335F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《贵州省水土保持规划2016-2030年》</w:t>
            </w:r>
          </w:p>
        </w:tc>
      </w:tr>
      <w:tr w14:paraId="4F6ECCD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continue"/>
            <w:tcBorders>
              <w:tl2br w:val="nil"/>
              <w:tr2bl w:val="nil"/>
            </w:tcBorders>
            <w:shd w:val="clear" w:color="auto" w:fill="auto"/>
            <w:noWrap/>
            <w:vAlign w:val="center"/>
          </w:tcPr>
          <w:p w14:paraId="12E9AE24">
            <w:pPr>
              <w:jc w:val="center"/>
              <w:rPr>
                <w:rFonts w:hint="default" w:ascii="Times New Roman" w:hAnsi="Times New Roman" w:eastAsia="宋体" w:cs="Times New Roman"/>
                <w:i w:val="0"/>
                <w:iCs w:val="0"/>
                <w:color w:val="auto"/>
                <w:sz w:val="24"/>
                <w:szCs w:val="24"/>
                <w:u w:val="none"/>
              </w:rPr>
            </w:pPr>
          </w:p>
        </w:tc>
        <w:tc>
          <w:tcPr>
            <w:tcW w:w="1895" w:type="pct"/>
            <w:tcBorders>
              <w:tl2br w:val="nil"/>
              <w:tr2bl w:val="nil"/>
            </w:tcBorders>
            <w:shd w:val="clear" w:color="auto" w:fill="auto"/>
            <w:noWrap/>
            <w:vAlign w:val="center"/>
          </w:tcPr>
          <w:p w14:paraId="5F1B9A8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省级水土保持重点工程</w:t>
            </w:r>
          </w:p>
        </w:tc>
        <w:tc>
          <w:tcPr>
            <w:tcW w:w="878" w:type="pct"/>
            <w:tcBorders>
              <w:tl2br w:val="nil"/>
              <w:tr2bl w:val="nil"/>
            </w:tcBorders>
            <w:shd w:val="clear" w:color="auto" w:fill="auto"/>
            <w:noWrap/>
            <w:vAlign w:val="center"/>
          </w:tcPr>
          <w:p w14:paraId="13044A5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400</w:t>
            </w:r>
          </w:p>
        </w:tc>
        <w:tc>
          <w:tcPr>
            <w:tcW w:w="1567" w:type="pct"/>
            <w:vMerge w:val="continue"/>
            <w:tcBorders>
              <w:tl2br w:val="nil"/>
              <w:tr2bl w:val="nil"/>
            </w:tcBorders>
            <w:shd w:val="clear" w:color="auto" w:fill="auto"/>
            <w:vAlign w:val="center"/>
          </w:tcPr>
          <w:p w14:paraId="48459985">
            <w:pPr>
              <w:jc w:val="center"/>
              <w:rPr>
                <w:rFonts w:hint="default" w:ascii="Times New Roman" w:hAnsi="Times New Roman" w:eastAsia="宋体" w:cs="Times New Roman"/>
                <w:i w:val="0"/>
                <w:iCs w:val="0"/>
                <w:color w:val="auto"/>
                <w:sz w:val="24"/>
                <w:szCs w:val="24"/>
                <w:u w:val="none"/>
              </w:rPr>
            </w:pPr>
          </w:p>
        </w:tc>
      </w:tr>
      <w:tr w14:paraId="25AF62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continue"/>
            <w:tcBorders>
              <w:tl2br w:val="nil"/>
              <w:tr2bl w:val="nil"/>
            </w:tcBorders>
            <w:shd w:val="clear" w:color="auto" w:fill="auto"/>
            <w:noWrap/>
            <w:vAlign w:val="center"/>
          </w:tcPr>
          <w:p w14:paraId="00465164">
            <w:pPr>
              <w:jc w:val="center"/>
              <w:rPr>
                <w:rFonts w:hint="default" w:ascii="Times New Roman" w:hAnsi="Times New Roman" w:eastAsia="宋体" w:cs="Times New Roman"/>
                <w:i w:val="0"/>
                <w:iCs w:val="0"/>
                <w:color w:val="auto"/>
                <w:sz w:val="24"/>
                <w:szCs w:val="24"/>
                <w:u w:val="none"/>
              </w:rPr>
            </w:pPr>
          </w:p>
        </w:tc>
        <w:tc>
          <w:tcPr>
            <w:tcW w:w="1895" w:type="pct"/>
            <w:tcBorders>
              <w:tl2br w:val="nil"/>
              <w:tr2bl w:val="nil"/>
            </w:tcBorders>
            <w:shd w:val="clear" w:color="auto" w:fill="auto"/>
            <w:noWrap/>
            <w:vAlign w:val="center"/>
          </w:tcPr>
          <w:p w14:paraId="7503E49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坡耕地水土流失综合治理工程</w:t>
            </w:r>
          </w:p>
        </w:tc>
        <w:tc>
          <w:tcPr>
            <w:tcW w:w="878" w:type="pct"/>
            <w:tcBorders>
              <w:tl2br w:val="nil"/>
              <w:tr2bl w:val="nil"/>
            </w:tcBorders>
            <w:shd w:val="clear" w:color="auto" w:fill="auto"/>
            <w:noWrap/>
            <w:vAlign w:val="center"/>
          </w:tcPr>
          <w:p w14:paraId="5CDF0B7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120</w:t>
            </w:r>
          </w:p>
        </w:tc>
        <w:tc>
          <w:tcPr>
            <w:tcW w:w="1567" w:type="pct"/>
            <w:vMerge w:val="continue"/>
            <w:tcBorders>
              <w:tl2br w:val="nil"/>
              <w:tr2bl w:val="nil"/>
            </w:tcBorders>
            <w:shd w:val="clear" w:color="auto" w:fill="auto"/>
            <w:vAlign w:val="center"/>
          </w:tcPr>
          <w:p w14:paraId="4497006A">
            <w:pPr>
              <w:jc w:val="center"/>
              <w:rPr>
                <w:rFonts w:hint="default" w:ascii="Times New Roman" w:hAnsi="Times New Roman" w:eastAsia="宋体" w:cs="Times New Roman"/>
                <w:i w:val="0"/>
                <w:iCs w:val="0"/>
                <w:color w:val="auto"/>
                <w:sz w:val="24"/>
                <w:szCs w:val="24"/>
                <w:u w:val="none"/>
              </w:rPr>
            </w:pPr>
          </w:p>
        </w:tc>
      </w:tr>
      <w:tr w14:paraId="2F7A06E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continue"/>
            <w:tcBorders>
              <w:tl2br w:val="nil"/>
              <w:tr2bl w:val="nil"/>
            </w:tcBorders>
            <w:shd w:val="clear" w:color="auto" w:fill="auto"/>
            <w:noWrap/>
            <w:vAlign w:val="center"/>
          </w:tcPr>
          <w:p w14:paraId="1CB5A690">
            <w:pPr>
              <w:jc w:val="center"/>
              <w:rPr>
                <w:rFonts w:hint="default" w:ascii="Times New Roman" w:hAnsi="Times New Roman" w:eastAsia="宋体" w:cs="Times New Roman"/>
                <w:i w:val="0"/>
                <w:iCs w:val="0"/>
                <w:color w:val="auto"/>
                <w:sz w:val="24"/>
                <w:szCs w:val="24"/>
                <w:u w:val="none"/>
              </w:rPr>
            </w:pPr>
          </w:p>
        </w:tc>
        <w:tc>
          <w:tcPr>
            <w:tcW w:w="1895" w:type="pct"/>
            <w:tcBorders>
              <w:tl2br w:val="nil"/>
              <w:tr2bl w:val="nil"/>
            </w:tcBorders>
            <w:shd w:val="clear" w:color="auto" w:fill="auto"/>
            <w:noWrap/>
            <w:vAlign w:val="center"/>
          </w:tcPr>
          <w:p w14:paraId="163CA46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小计</w:t>
            </w:r>
          </w:p>
        </w:tc>
        <w:tc>
          <w:tcPr>
            <w:tcW w:w="878" w:type="pct"/>
            <w:tcBorders>
              <w:tl2br w:val="nil"/>
              <w:tr2bl w:val="nil"/>
            </w:tcBorders>
            <w:shd w:val="clear" w:color="auto" w:fill="auto"/>
            <w:noWrap/>
            <w:vAlign w:val="center"/>
          </w:tcPr>
          <w:p w14:paraId="6880017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2920</w:t>
            </w:r>
          </w:p>
        </w:tc>
        <w:tc>
          <w:tcPr>
            <w:tcW w:w="1567" w:type="pct"/>
            <w:vMerge w:val="continue"/>
            <w:tcBorders>
              <w:tl2br w:val="nil"/>
              <w:tr2bl w:val="nil"/>
            </w:tcBorders>
            <w:shd w:val="clear" w:color="auto" w:fill="auto"/>
            <w:vAlign w:val="center"/>
          </w:tcPr>
          <w:p w14:paraId="7DC7D5F4">
            <w:pPr>
              <w:jc w:val="center"/>
              <w:rPr>
                <w:rFonts w:hint="default" w:ascii="Times New Roman" w:hAnsi="Times New Roman" w:eastAsia="宋体" w:cs="Times New Roman"/>
                <w:i w:val="0"/>
                <w:iCs w:val="0"/>
                <w:color w:val="auto"/>
                <w:sz w:val="24"/>
                <w:szCs w:val="24"/>
                <w:u w:val="none"/>
              </w:rPr>
            </w:pPr>
          </w:p>
        </w:tc>
      </w:tr>
      <w:tr w14:paraId="72A4E76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tcBorders>
              <w:tl2br w:val="nil"/>
              <w:tr2bl w:val="nil"/>
            </w:tcBorders>
            <w:shd w:val="clear" w:color="auto" w:fill="auto"/>
            <w:noWrap/>
            <w:vAlign w:val="center"/>
          </w:tcPr>
          <w:p w14:paraId="5116E63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林业</w:t>
            </w:r>
          </w:p>
        </w:tc>
        <w:tc>
          <w:tcPr>
            <w:tcW w:w="1895" w:type="pct"/>
            <w:tcBorders>
              <w:tl2br w:val="nil"/>
              <w:tr2bl w:val="nil"/>
            </w:tcBorders>
            <w:shd w:val="clear" w:color="auto" w:fill="auto"/>
            <w:noWrap/>
            <w:vAlign w:val="center"/>
          </w:tcPr>
          <w:p w14:paraId="732599A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低质低效林改造</w:t>
            </w:r>
            <w:r>
              <w:rPr>
                <w:rFonts w:hint="eastAsia" w:ascii="Times New Roman" w:hAnsi="Times New Roman" w:eastAsia="宋体" w:cs="Times New Roman"/>
                <w:i w:val="0"/>
                <w:iCs w:val="0"/>
                <w:color w:val="auto"/>
                <w:kern w:val="0"/>
                <w:sz w:val="24"/>
                <w:szCs w:val="24"/>
                <w:u w:val="none"/>
                <w:lang w:val="en-US" w:eastAsia="zh-CN" w:bidi="ar"/>
              </w:rPr>
              <w:t>等工程</w:t>
            </w:r>
          </w:p>
        </w:tc>
        <w:tc>
          <w:tcPr>
            <w:tcW w:w="878" w:type="pct"/>
            <w:tcBorders>
              <w:tl2br w:val="nil"/>
              <w:tr2bl w:val="nil"/>
            </w:tcBorders>
            <w:shd w:val="clear" w:color="auto" w:fill="auto"/>
            <w:noWrap/>
            <w:vAlign w:val="center"/>
          </w:tcPr>
          <w:p w14:paraId="4DB7E08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6666</w:t>
            </w:r>
          </w:p>
        </w:tc>
        <w:tc>
          <w:tcPr>
            <w:tcW w:w="1567" w:type="pct"/>
            <w:tcBorders>
              <w:tl2br w:val="nil"/>
              <w:tr2bl w:val="nil"/>
            </w:tcBorders>
            <w:shd w:val="clear" w:color="auto" w:fill="auto"/>
            <w:vAlign w:val="center"/>
          </w:tcPr>
          <w:p w14:paraId="402F369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《贵州省“十四五”林业草原保护发展规划》</w:t>
            </w:r>
          </w:p>
        </w:tc>
      </w:tr>
      <w:tr w14:paraId="602623A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restart"/>
            <w:tcBorders>
              <w:tl2br w:val="nil"/>
              <w:tr2bl w:val="nil"/>
            </w:tcBorders>
            <w:shd w:val="clear" w:color="auto" w:fill="auto"/>
            <w:noWrap/>
            <w:vAlign w:val="center"/>
          </w:tcPr>
          <w:p w14:paraId="17935F0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自然资源</w:t>
            </w:r>
          </w:p>
        </w:tc>
        <w:tc>
          <w:tcPr>
            <w:tcW w:w="1895" w:type="pct"/>
            <w:tcBorders>
              <w:tl2br w:val="nil"/>
              <w:tr2bl w:val="nil"/>
            </w:tcBorders>
            <w:shd w:val="clear" w:color="auto" w:fill="auto"/>
            <w:noWrap/>
            <w:vAlign w:val="center"/>
          </w:tcPr>
          <w:p w14:paraId="3C5322A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实施山水林田湖草沙一体化保护和修复工程</w:t>
            </w:r>
          </w:p>
        </w:tc>
        <w:tc>
          <w:tcPr>
            <w:tcW w:w="878" w:type="pct"/>
            <w:tcBorders>
              <w:tl2br w:val="nil"/>
              <w:tr2bl w:val="nil"/>
            </w:tcBorders>
            <w:shd w:val="clear" w:color="auto" w:fill="auto"/>
            <w:noWrap/>
            <w:vAlign w:val="center"/>
          </w:tcPr>
          <w:p w14:paraId="65C74A5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80</w:t>
            </w:r>
          </w:p>
        </w:tc>
        <w:tc>
          <w:tcPr>
            <w:tcW w:w="1567" w:type="pct"/>
            <w:tcBorders>
              <w:tl2br w:val="nil"/>
              <w:tr2bl w:val="nil"/>
            </w:tcBorders>
            <w:shd w:val="clear" w:color="auto" w:fill="auto"/>
            <w:vAlign w:val="center"/>
          </w:tcPr>
          <w:p w14:paraId="1AD2EE1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《武陵山区山水林田湖草沙一体化生态保护和修 复工程实施方案》</w:t>
            </w:r>
          </w:p>
        </w:tc>
      </w:tr>
      <w:tr w14:paraId="2D5C320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continue"/>
            <w:tcBorders>
              <w:tl2br w:val="nil"/>
              <w:tr2bl w:val="nil"/>
            </w:tcBorders>
            <w:shd w:val="clear" w:color="auto" w:fill="auto"/>
            <w:noWrap/>
            <w:vAlign w:val="center"/>
          </w:tcPr>
          <w:p w14:paraId="13A88D4A">
            <w:pPr>
              <w:jc w:val="center"/>
              <w:rPr>
                <w:rFonts w:hint="default" w:ascii="Times New Roman" w:hAnsi="Times New Roman" w:eastAsia="宋体" w:cs="Times New Roman"/>
                <w:i w:val="0"/>
                <w:iCs w:val="0"/>
                <w:color w:val="auto"/>
                <w:sz w:val="24"/>
                <w:szCs w:val="24"/>
                <w:u w:val="none"/>
              </w:rPr>
            </w:pPr>
          </w:p>
        </w:tc>
        <w:tc>
          <w:tcPr>
            <w:tcW w:w="1895" w:type="pct"/>
            <w:tcBorders>
              <w:tl2br w:val="nil"/>
              <w:tr2bl w:val="nil"/>
            </w:tcBorders>
            <w:shd w:val="clear" w:color="auto" w:fill="auto"/>
            <w:noWrap/>
            <w:vAlign w:val="center"/>
          </w:tcPr>
          <w:p w14:paraId="26F2ED5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矿山生态修复</w:t>
            </w:r>
            <w:r>
              <w:rPr>
                <w:rFonts w:hint="eastAsia" w:ascii="Times New Roman" w:hAnsi="Times New Roman" w:eastAsia="宋体" w:cs="Times New Roman"/>
                <w:i w:val="0"/>
                <w:iCs w:val="0"/>
                <w:color w:val="auto"/>
                <w:kern w:val="0"/>
                <w:sz w:val="24"/>
                <w:szCs w:val="24"/>
                <w:u w:val="none"/>
                <w:lang w:val="en-US" w:eastAsia="zh-CN" w:bidi="ar"/>
              </w:rPr>
              <w:t>工程</w:t>
            </w:r>
          </w:p>
        </w:tc>
        <w:tc>
          <w:tcPr>
            <w:tcW w:w="878" w:type="pct"/>
            <w:tcBorders>
              <w:tl2br w:val="nil"/>
              <w:tr2bl w:val="nil"/>
            </w:tcBorders>
            <w:shd w:val="clear" w:color="auto" w:fill="auto"/>
            <w:noWrap/>
            <w:vAlign w:val="center"/>
          </w:tcPr>
          <w:p w14:paraId="35D60C2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w:t>
            </w:r>
          </w:p>
        </w:tc>
        <w:tc>
          <w:tcPr>
            <w:tcW w:w="1567" w:type="pct"/>
            <w:vMerge w:val="restart"/>
            <w:tcBorders>
              <w:tl2br w:val="nil"/>
              <w:tr2bl w:val="nil"/>
            </w:tcBorders>
            <w:shd w:val="clear" w:color="auto" w:fill="auto"/>
            <w:vAlign w:val="center"/>
          </w:tcPr>
          <w:p w14:paraId="7790BFB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《贵州省统筹推进山水林田湖草系统治理行动方案》</w:t>
            </w:r>
          </w:p>
        </w:tc>
      </w:tr>
      <w:tr w14:paraId="3F67A12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continue"/>
            <w:tcBorders>
              <w:tl2br w:val="nil"/>
              <w:tr2bl w:val="nil"/>
            </w:tcBorders>
            <w:shd w:val="clear" w:color="auto" w:fill="auto"/>
            <w:noWrap/>
            <w:vAlign w:val="center"/>
          </w:tcPr>
          <w:p w14:paraId="25B14699">
            <w:pPr>
              <w:jc w:val="center"/>
              <w:rPr>
                <w:rFonts w:hint="default" w:ascii="Times New Roman" w:hAnsi="Times New Roman" w:eastAsia="宋体" w:cs="Times New Roman"/>
                <w:i w:val="0"/>
                <w:iCs w:val="0"/>
                <w:color w:val="auto"/>
                <w:sz w:val="24"/>
                <w:szCs w:val="24"/>
                <w:u w:val="none"/>
              </w:rPr>
            </w:pPr>
          </w:p>
        </w:tc>
        <w:tc>
          <w:tcPr>
            <w:tcW w:w="1895" w:type="pct"/>
            <w:tcBorders>
              <w:tl2br w:val="nil"/>
              <w:tr2bl w:val="nil"/>
            </w:tcBorders>
            <w:shd w:val="clear" w:color="auto" w:fill="auto"/>
            <w:noWrap/>
            <w:vAlign w:val="center"/>
          </w:tcPr>
          <w:p w14:paraId="2EA5A53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土地综合整治</w:t>
            </w:r>
            <w:r>
              <w:rPr>
                <w:rFonts w:hint="eastAsia" w:ascii="Times New Roman" w:hAnsi="Times New Roman" w:eastAsia="宋体" w:cs="Times New Roman"/>
                <w:i w:val="0"/>
                <w:iCs w:val="0"/>
                <w:color w:val="auto"/>
                <w:kern w:val="0"/>
                <w:sz w:val="24"/>
                <w:szCs w:val="24"/>
                <w:u w:val="none"/>
                <w:lang w:val="en-US" w:eastAsia="zh-CN" w:bidi="ar"/>
              </w:rPr>
              <w:t>工程</w:t>
            </w:r>
          </w:p>
        </w:tc>
        <w:tc>
          <w:tcPr>
            <w:tcW w:w="878" w:type="pct"/>
            <w:tcBorders>
              <w:tl2br w:val="nil"/>
              <w:tr2bl w:val="nil"/>
            </w:tcBorders>
            <w:shd w:val="clear" w:color="auto" w:fill="auto"/>
            <w:noWrap/>
            <w:vAlign w:val="center"/>
          </w:tcPr>
          <w:p w14:paraId="2BE9706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567" w:type="pct"/>
            <w:vMerge w:val="continue"/>
            <w:tcBorders>
              <w:tl2br w:val="nil"/>
              <w:tr2bl w:val="nil"/>
            </w:tcBorders>
            <w:shd w:val="clear" w:color="auto" w:fill="auto"/>
            <w:vAlign w:val="center"/>
          </w:tcPr>
          <w:p w14:paraId="5F4021F3">
            <w:pPr>
              <w:jc w:val="center"/>
              <w:rPr>
                <w:rFonts w:hint="default" w:ascii="Times New Roman" w:hAnsi="Times New Roman" w:eastAsia="宋体" w:cs="Times New Roman"/>
                <w:i w:val="0"/>
                <w:iCs w:val="0"/>
                <w:color w:val="auto"/>
                <w:sz w:val="24"/>
                <w:szCs w:val="24"/>
                <w:u w:val="none"/>
              </w:rPr>
            </w:pPr>
          </w:p>
        </w:tc>
      </w:tr>
      <w:tr w14:paraId="06F5E9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vMerge w:val="continue"/>
            <w:tcBorders>
              <w:tl2br w:val="nil"/>
              <w:tr2bl w:val="nil"/>
            </w:tcBorders>
            <w:shd w:val="clear" w:color="auto" w:fill="auto"/>
            <w:noWrap/>
            <w:vAlign w:val="center"/>
          </w:tcPr>
          <w:p w14:paraId="1E52D2F6">
            <w:pPr>
              <w:jc w:val="center"/>
              <w:rPr>
                <w:rFonts w:hint="default" w:ascii="Times New Roman" w:hAnsi="Times New Roman" w:eastAsia="宋体" w:cs="Times New Roman"/>
                <w:i w:val="0"/>
                <w:iCs w:val="0"/>
                <w:color w:val="auto"/>
                <w:sz w:val="24"/>
                <w:szCs w:val="24"/>
                <w:u w:val="none"/>
              </w:rPr>
            </w:pPr>
          </w:p>
        </w:tc>
        <w:tc>
          <w:tcPr>
            <w:tcW w:w="1895" w:type="pct"/>
            <w:tcBorders>
              <w:tl2br w:val="nil"/>
              <w:tr2bl w:val="nil"/>
            </w:tcBorders>
            <w:shd w:val="clear" w:color="auto" w:fill="auto"/>
            <w:noWrap/>
            <w:vAlign w:val="center"/>
          </w:tcPr>
          <w:p w14:paraId="2F47B27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小计</w:t>
            </w:r>
          </w:p>
        </w:tc>
        <w:tc>
          <w:tcPr>
            <w:tcW w:w="878" w:type="pct"/>
            <w:tcBorders>
              <w:tl2br w:val="nil"/>
              <w:tr2bl w:val="nil"/>
            </w:tcBorders>
            <w:shd w:val="clear" w:color="auto" w:fill="auto"/>
            <w:noWrap/>
            <w:vAlign w:val="center"/>
          </w:tcPr>
          <w:p w14:paraId="4B6FA46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220</w:t>
            </w:r>
          </w:p>
        </w:tc>
        <w:tc>
          <w:tcPr>
            <w:tcW w:w="1567" w:type="pct"/>
            <w:tcBorders>
              <w:tl2br w:val="nil"/>
              <w:tr2bl w:val="nil"/>
            </w:tcBorders>
            <w:shd w:val="clear" w:color="auto" w:fill="auto"/>
            <w:vAlign w:val="center"/>
          </w:tcPr>
          <w:p w14:paraId="6CC7FEB7">
            <w:pPr>
              <w:jc w:val="center"/>
              <w:rPr>
                <w:rFonts w:hint="default" w:ascii="Times New Roman" w:hAnsi="Times New Roman" w:eastAsia="宋体" w:cs="Times New Roman"/>
                <w:i w:val="0"/>
                <w:iCs w:val="0"/>
                <w:color w:val="auto"/>
                <w:sz w:val="24"/>
                <w:szCs w:val="24"/>
                <w:u w:val="none"/>
              </w:rPr>
            </w:pPr>
          </w:p>
        </w:tc>
      </w:tr>
      <w:tr w14:paraId="4B502DF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tcBorders>
              <w:tl2br w:val="nil"/>
              <w:tr2bl w:val="nil"/>
            </w:tcBorders>
            <w:shd w:val="clear" w:color="auto" w:fill="auto"/>
            <w:noWrap/>
            <w:vAlign w:val="center"/>
          </w:tcPr>
          <w:p w14:paraId="2B40987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农业农村</w:t>
            </w:r>
          </w:p>
        </w:tc>
        <w:tc>
          <w:tcPr>
            <w:tcW w:w="1895" w:type="pct"/>
            <w:tcBorders>
              <w:tl2br w:val="nil"/>
              <w:tr2bl w:val="nil"/>
            </w:tcBorders>
            <w:shd w:val="clear" w:color="auto" w:fill="auto"/>
            <w:noWrap/>
            <w:vAlign w:val="center"/>
          </w:tcPr>
          <w:p w14:paraId="2ED670D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新建高标准农田建设</w:t>
            </w:r>
            <w:r>
              <w:rPr>
                <w:rFonts w:hint="eastAsia" w:ascii="Times New Roman" w:hAnsi="Times New Roman" w:eastAsia="宋体" w:cs="Times New Roman"/>
                <w:i w:val="0"/>
                <w:iCs w:val="0"/>
                <w:color w:val="auto"/>
                <w:kern w:val="0"/>
                <w:sz w:val="24"/>
                <w:szCs w:val="24"/>
                <w:u w:val="none"/>
                <w:lang w:val="en-US" w:eastAsia="zh-CN" w:bidi="ar"/>
              </w:rPr>
              <w:t>工程</w:t>
            </w:r>
          </w:p>
        </w:tc>
        <w:tc>
          <w:tcPr>
            <w:tcW w:w="878" w:type="pct"/>
            <w:tcBorders>
              <w:tl2br w:val="nil"/>
              <w:tr2bl w:val="nil"/>
            </w:tcBorders>
            <w:shd w:val="clear" w:color="auto" w:fill="auto"/>
            <w:noWrap/>
            <w:vAlign w:val="center"/>
          </w:tcPr>
          <w:p w14:paraId="0EE6FB2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3912</w:t>
            </w:r>
          </w:p>
        </w:tc>
        <w:tc>
          <w:tcPr>
            <w:tcW w:w="1567" w:type="pct"/>
            <w:tcBorders>
              <w:tl2br w:val="nil"/>
              <w:tr2bl w:val="nil"/>
            </w:tcBorders>
            <w:shd w:val="clear" w:color="auto" w:fill="auto"/>
            <w:vAlign w:val="center"/>
          </w:tcPr>
          <w:p w14:paraId="580F4F3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农业农村厅提供</w:t>
            </w:r>
          </w:p>
        </w:tc>
      </w:tr>
      <w:tr w14:paraId="4DBCA7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tcBorders>
              <w:tl2br w:val="nil"/>
              <w:tr2bl w:val="nil"/>
            </w:tcBorders>
            <w:shd w:val="clear" w:color="auto" w:fill="auto"/>
            <w:noWrap/>
            <w:vAlign w:val="center"/>
          </w:tcPr>
          <w:p w14:paraId="069CD17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其他</w:t>
            </w:r>
          </w:p>
        </w:tc>
        <w:tc>
          <w:tcPr>
            <w:tcW w:w="1895" w:type="pct"/>
            <w:tcBorders>
              <w:tl2br w:val="nil"/>
              <w:tr2bl w:val="nil"/>
            </w:tcBorders>
            <w:shd w:val="clear" w:color="auto" w:fill="auto"/>
            <w:noWrap/>
            <w:vAlign w:val="center"/>
          </w:tcPr>
          <w:p w14:paraId="30F1112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其他生态环境治理</w:t>
            </w:r>
            <w:r>
              <w:rPr>
                <w:rFonts w:hint="eastAsia" w:ascii="Times New Roman" w:hAnsi="Times New Roman" w:eastAsia="宋体" w:cs="Times New Roman"/>
                <w:i w:val="0"/>
                <w:iCs w:val="0"/>
                <w:color w:val="auto"/>
                <w:kern w:val="0"/>
                <w:sz w:val="24"/>
                <w:szCs w:val="24"/>
                <w:u w:val="none"/>
                <w:lang w:val="en-US" w:eastAsia="zh-CN" w:bidi="ar"/>
              </w:rPr>
              <w:t>工程</w:t>
            </w:r>
          </w:p>
        </w:tc>
        <w:tc>
          <w:tcPr>
            <w:tcW w:w="878" w:type="pct"/>
            <w:tcBorders>
              <w:tl2br w:val="nil"/>
              <w:tr2bl w:val="nil"/>
            </w:tcBorders>
            <w:shd w:val="clear" w:color="auto" w:fill="auto"/>
            <w:noWrap/>
            <w:vAlign w:val="center"/>
          </w:tcPr>
          <w:p w14:paraId="3C3CD55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1182</w:t>
            </w:r>
          </w:p>
        </w:tc>
        <w:tc>
          <w:tcPr>
            <w:tcW w:w="1567" w:type="pct"/>
            <w:tcBorders>
              <w:tl2br w:val="nil"/>
              <w:tr2bl w:val="nil"/>
            </w:tcBorders>
            <w:shd w:val="clear" w:color="auto" w:fill="auto"/>
            <w:vAlign w:val="center"/>
          </w:tcPr>
          <w:p w14:paraId="77E15771">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其他部门或社会资本水土流失治理项目</w:t>
            </w:r>
          </w:p>
        </w:tc>
      </w:tr>
      <w:tr w14:paraId="5774EBB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jc w:val="center"/>
        </w:trPr>
        <w:tc>
          <w:tcPr>
            <w:tcW w:w="659" w:type="pct"/>
            <w:tcBorders>
              <w:tl2br w:val="nil"/>
              <w:tr2bl w:val="nil"/>
            </w:tcBorders>
            <w:shd w:val="clear" w:color="auto" w:fill="auto"/>
            <w:noWrap/>
            <w:vAlign w:val="center"/>
          </w:tcPr>
          <w:p w14:paraId="7765ED1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合计</w:t>
            </w:r>
          </w:p>
        </w:tc>
        <w:tc>
          <w:tcPr>
            <w:tcW w:w="1895" w:type="pct"/>
            <w:tcBorders>
              <w:tl2br w:val="nil"/>
              <w:tr2bl w:val="nil"/>
            </w:tcBorders>
            <w:shd w:val="clear" w:color="auto" w:fill="auto"/>
            <w:noWrap/>
            <w:vAlign w:val="center"/>
          </w:tcPr>
          <w:p w14:paraId="4A117FFF">
            <w:pPr>
              <w:jc w:val="center"/>
              <w:rPr>
                <w:rFonts w:hint="default" w:ascii="Times New Roman" w:hAnsi="Times New Roman" w:eastAsia="宋体" w:cs="Times New Roman"/>
                <w:b/>
                <w:bCs/>
                <w:i w:val="0"/>
                <w:iCs w:val="0"/>
                <w:color w:val="auto"/>
                <w:sz w:val="24"/>
                <w:szCs w:val="24"/>
                <w:u w:val="none"/>
              </w:rPr>
            </w:pPr>
          </w:p>
        </w:tc>
        <w:tc>
          <w:tcPr>
            <w:tcW w:w="878" w:type="pct"/>
            <w:tcBorders>
              <w:tl2br w:val="nil"/>
              <w:tr2bl w:val="nil"/>
            </w:tcBorders>
            <w:shd w:val="clear" w:color="auto" w:fill="auto"/>
            <w:noWrap/>
            <w:vAlign w:val="center"/>
          </w:tcPr>
          <w:p w14:paraId="46D4124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14900</w:t>
            </w:r>
          </w:p>
        </w:tc>
        <w:tc>
          <w:tcPr>
            <w:tcW w:w="1567" w:type="pct"/>
            <w:tcBorders>
              <w:tl2br w:val="nil"/>
              <w:tr2bl w:val="nil"/>
            </w:tcBorders>
            <w:shd w:val="clear" w:color="auto" w:fill="auto"/>
            <w:noWrap/>
            <w:vAlign w:val="center"/>
          </w:tcPr>
          <w:p w14:paraId="7435F1C9">
            <w:pPr>
              <w:jc w:val="center"/>
              <w:rPr>
                <w:rFonts w:hint="default" w:ascii="Times New Roman" w:hAnsi="Times New Roman" w:eastAsia="宋体" w:cs="Times New Roman"/>
                <w:b/>
                <w:bCs/>
                <w:i w:val="0"/>
                <w:iCs w:val="0"/>
                <w:color w:val="auto"/>
                <w:sz w:val="24"/>
                <w:szCs w:val="24"/>
                <w:u w:val="none"/>
              </w:rPr>
            </w:pPr>
          </w:p>
        </w:tc>
      </w:tr>
    </w:tbl>
    <w:p w14:paraId="5D5C1D73">
      <w:pPr>
        <w:pStyle w:val="7"/>
        <w:bidi w:val="0"/>
        <w:rPr>
          <w:rFonts w:hint="default" w:ascii="Times New Roman" w:hAnsi="Times New Roman" w:eastAsia="黑体" w:cs="Times New Roman"/>
          <w:color w:val="auto"/>
          <w:sz w:val="32"/>
          <w:szCs w:val="32"/>
          <w:lang w:val="en-US" w:eastAsia="zh-CN"/>
        </w:rPr>
      </w:pPr>
      <w:bookmarkStart w:id="160" w:name="_Toc31271"/>
      <w:bookmarkStart w:id="161" w:name="_Toc18621"/>
      <w:bookmarkStart w:id="162" w:name="_Toc7755"/>
      <w:r>
        <w:rPr>
          <w:rFonts w:hint="default" w:ascii="Times New Roman" w:hAnsi="Times New Roman" w:eastAsia="黑体" w:cs="Times New Roman"/>
          <w:color w:val="auto"/>
          <w:sz w:val="32"/>
          <w:szCs w:val="32"/>
          <w:lang w:val="en-US" w:eastAsia="zh-CN"/>
        </w:rPr>
        <w:t>五、重点治理项目</w:t>
      </w:r>
      <w:bookmarkEnd w:id="160"/>
      <w:bookmarkEnd w:id="161"/>
      <w:bookmarkEnd w:id="162"/>
    </w:p>
    <w:p w14:paraId="07B8E69C">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3" w:name="_Toc20291"/>
      <w:r>
        <w:rPr>
          <w:rFonts w:hint="default" w:ascii="Times New Roman" w:hAnsi="Times New Roman" w:eastAsia="楷体_GB2312" w:cs="Times New Roman"/>
          <w:b/>
          <w:bCs w:val="0"/>
          <w:snapToGrid w:val="0"/>
          <w:color w:val="auto"/>
          <w:kern w:val="2"/>
          <w:sz w:val="30"/>
          <w:szCs w:val="30"/>
          <w:lang w:val="en-US" w:eastAsia="zh-CN" w:bidi="ar-SA"/>
        </w:rPr>
        <w:t>（一）国家水土保持重点工程</w:t>
      </w:r>
      <w:bookmarkEnd w:id="163"/>
    </w:p>
    <w:p w14:paraId="297DC648">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b w:val="0"/>
          <w:bCs/>
          <w:color w:val="auto"/>
          <w:kern w:val="2"/>
          <w:sz w:val="28"/>
          <w:szCs w:val="28"/>
          <w:lang w:val="en-US" w:eastAsia="zh-CN"/>
        </w:rPr>
      </w:pPr>
      <w:r>
        <w:rPr>
          <w:rFonts w:hint="default" w:ascii="Times New Roman" w:hAnsi="Times New Roman" w:cs="Times New Roman"/>
          <w:b w:val="0"/>
          <w:bCs/>
          <w:color w:val="auto"/>
          <w:kern w:val="2"/>
          <w:sz w:val="28"/>
          <w:szCs w:val="28"/>
          <w:lang w:val="en-US" w:eastAsia="zh-CN"/>
        </w:rPr>
        <w:t>计划实施国家水土保持重点工程192个，</w:t>
      </w:r>
      <w:r>
        <w:rPr>
          <w:rFonts w:hint="default" w:ascii="Times New Roman" w:hAnsi="Times New Roman" w:cs="Times New Roman"/>
          <w:b w:val="0"/>
          <w:bCs/>
          <w:color w:val="auto"/>
          <w:kern w:val="2"/>
          <w:sz w:val="28"/>
          <w:szCs w:val="28"/>
          <w:lang w:eastAsia="zh-CN"/>
        </w:rPr>
        <w:t>治理水土流失面积2</w:t>
      </w:r>
      <w:r>
        <w:rPr>
          <w:rFonts w:hint="default" w:ascii="Times New Roman" w:hAnsi="Times New Roman" w:cs="Times New Roman"/>
          <w:b w:val="0"/>
          <w:bCs/>
          <w:color w:val="auto"/>
          <w:kern w:val="2"/>
          <w:sz w:val="28"/>
          <w:szCs w:val="28"/>
          <w:lang w:val="en-US" w:eastAsia="zh-CN"/>
        </w:rPr>
        <w:t>4</w:t>
      </w:r>
      <w:r>
        <w:rPr>
          <w:rFonts w:hint="default" w:ascii="Times New Roman" w:hAnsi="Times New Roman" w:cs="Times New Roman"/>
          <w:b w:val="0"/>
          <w:bCs/>
          <w:color w:val="auto"/>
          <w:kern w:val="2"/>
          <w:sz w:val="28"/>
          <w:szCs w:val="28"/>
          <w:lang w:eastAsia="zh-CN"/>
        </w:rPr>
        <w:t>00</w:t>
      </w:r>
      <w:r>
        <w:rPr>
          <w:rFonts w:hint="default" w:ascii="Times New Roman" w:hAnsi="Times New Roman" w:cs="Times New Roman"/>
          <w:b w:val="0"/>
          <w:bCs/>
          <w:color w:val="auto"/>
          <w:kern w:val="2"/>
          <w:sz w:val="28"/>
          <w:szCs w:val="28"/>
          <w:lang w:val="en-US" w:eastAsia="zh-CN"/>
        </w:rPr>
        <w:t>平方公里。主要包括：小流域综合治理、以奖代补水土流失综合治理、生态清洁小流域综合治理以及林下水土流失综合治理等4种实施模式，规划打造精品小流域15条。</w:t>
      </w:r>
    </w:p>
    <w:p w14:paraId="1A04C61F">
      <w:pPr>
        <w:pStyle w:val="26"/>
        <w:adjustRightInd/>
        <w:spacing w:after="0" w:line="360" w:lineRule="auto"/>
        <w:ind w:firstLine="562" w:firstLineChars="200"/>
        <w:rPr>
          <w:rFonts w:hint="default" w:ascii="Times New Roman" w:hAnsi="Times New Roman" w:eastAsia="宋体" w:cs="Times New Roman"/>
          <w:b w:val="0"/>
          <w:bCs/>
          <w:color w:val="auto"/>
          <w:kern w:val="2"/>
          <w:sz w:val="28"/>
          <w:szCs w:val="28"/>
          <w:lang w:val="en-US" w:eastAsia="zh-CN" w:bidi="ar-SA"/>
        </w:rPr>
      </w:pPr>
      <w:r>
        <w:rPr>
          <w:rFonts w:hint="default" w:ascii="Times New Roman" w:hAnsi="Times New Roman" w:cs="Times New Roman"/>
          <w:b/>
          <w:bCs w:val="0"/>
          <w:color w:val="auto"/>
          <w:kern w:val="2"/>
          <w:sz w:val="28"/>
          <w:szCs w:val="28"/>
          <w:lang w:val="en-US" w:eastAsia="zh-CN"/>
        </w:rPr>
        <w:t>（1）小流域综合治理</w:t>
      </w:r>
      <w:r>
        <w:rPr>
          <w:rFonts w:hint="default" w:ascii="Times New Roman" w:hAnsi="Times New Roman" w:eastAsia="宋体" w:cs="Times New Roman"/>
          <w:b w:val="0"/>
          <w:bCs/>
          <w:color w:val="auto"/>
          <w:kern w:val="2"/>
          <w:sz w:val="28"/>
          <w:szCs w:val="28"/>
          <w:lang w:val="en-US" w:eastAsia="zh-CN" w:bidi="ar-SA"/>
        </w:rPr>
        <w:t xml:space="preserve">  </w:t>
      </w:r>
    </w:p>
    <w:p w14:paraId="1C669136">
      <w:pPr>
        <w:pStyle w:val="26"/>
        <w:adjustRightInd/>
        <w:spacing w:after="0" w:line="360" w:lineRule="auto"/>
        <w:ind w:firstLine="560" w:firstLineChars="200"/>
        <w:rPr>
          <w:rFonts w:hint="default" w:ascii="Times New Roman" w:hAnsi="Times New Roman" w:cs="Times New Roman"/>
          <w:color w:val="auto"/>
          <w:kern w:val="2"/>
          <w:sz w:val="28"/>
          <w:szCs w:val="28"/>
          <w:lang w:eastAsia="zh-CN"/>
        </w:rPr>
      </w:pPr>
      <w:r>
        <w:rPr>
          <w:rFonts w:hint="default" w:ascii="Times New Roman" w:hAnsi="Times New Roman" w:eastAsia="宋体" w:cs="Times New Roman"/>
          <w:b w:val="0"/>
          <w:bCs/>
          <w:color w:val="auto"/>
          <w:kern w:val="2"/>
          <w:sz w:val="28"/>
          <w:szCs w:val="28"/>
          <w:lang w:val="en-US" w:eastAsia="zh-CN" w:bidi="ar-SA"/>
        </w:rPr>
        <w:t>运用小流域综合治理措施体系，以</w:t>
      </w:r>
      <w:r>
        <w:rPr>
          <w:rFonts w:hint="default" w:ascii="Times New Roman" w:hAnsi="Times New Roman" w:eastAsia="宋体" w:cs="Times New Roman"/>
          <w:color w:val="auto"/>
          <w:kern w:val="2"/>
          <w:sz w:val="28"/>
          <w:szCs w:val="28"/>
          <w:lang w:val="en-US" w:eastAsia="zh-CN"/>
        </w:rPr>
        <w:t>实施特色经济林或水土保持林，加强林地自然修复，防</w:t>
      </w:r>
      <w:r>
        <w:rPr>
          <w:rFonts w:hint="default" w:ascii="Times New Roman" w:hAnsi="Times New Roman" w:eastAsia="宋体" w:cs="Times New Roman"/>
          <w:b w:val="0"/>
          <w:bCs/>
          <w:color w:val="auto"/>
          <w:kern w:val="2"/>
          <w:sz w:val="28"/>
          <w:szCs w:val="28"/>
          <w:lang w:val="en-US" w:eastAsia="zh-CN" w:bidi="ar-SA"/>
        </w:rPr>
        <w:t>治人为</w:t>
      </w:r>
      <w:r>
        <w:rPr>
          <w:rFonts w:hint="default" w:ascii="Times New Roman" w:hAnsi="Times New Roman" w:eastAsia="宋体" w:cs="Times New Roman"/>
          <w:color w:val="auto"/>
          <w:kern w:val="2"/>
          <w:sz w:val="28"/>
          <w:szCs w:val="28"/>
          <w:lang w:val="en-US" w:eastAsia="zh-CN"/>
        </w:rPr>
        <w:t>破坏，提高耕地质量为目的，治理水土流失，遏制石漠化。</w:t>
      </w:r>
      <w:r>
        <w:rPr>
          <w:rFonts w:hint="default" w:ascii="Times New Roman" w:hAnsi="Times New Roman" w:eastAsia="宋体" w:cs="Times New Roman"/>
          <w:b w:val="0"/>
          <w:bCs/>
          <w:color w:val="auto"/>
          <w:kern w:val="2"/>
          <w:sz w:val="28"/>
          <w:szCs w:val="28"/>
          <w:lang w:val="en-US" w:eastAsia="zh-CN" w:bidi="ar-SA"/>
        </w:rPr>
        <w:t>计划</w:t>
      </w:r>
      <w:r>
        <w:rPr>
          <w:rFonts w:hint="default" w:ascii="Times New Roman" w:hAnsi="Times New Roman" w:eastAsia="宋体" w:cs="Times New Roman"/>
          <w:color w:val="auto"/>
          <w:kern w:val="2"/>
          <w:sz w:val="28"/>
          <w:szCs w:val="28"/>
          <w:lang w:val="en-US" w:eastAsia="zh-CN"/>
        </w:rPr>
        <w:t>实施</w:t>
      </w:r>
      <w:r>
        <w:rPr>
          <w:rFonts w:hint="default" w:ascii="Times New Roman" w:hAnsi="Times New Roman" w:cs="Times New Roman"/>
          <w:b w:val="0"/>
          <w:bCs/>
          <w:color w:val="auto"/>
          <w:kern w:val="2"/>
          <w:sz w:val="28"/>
          <w:szCs w:val="28"/>
          <w:lang w:val="en-US" w:eastAsia="zh-CN"/>
        </w:rPr>
        <w:t>94条</w:t>
      </w:r>
      <w:r>
        <w:rPr>
          <w:rFonts w:hint="default" w:ascii="Times New Roman" w:hAnsi="Times New Roman" w:eastAsia="宋体" w:cs="Times New Roman"/>
          <w:color w:val="auto"/>
          <w:kern w:val="2"/>
          <w:sz w:val="28"/>
          <w:szCs w:val="28"/>
          <w:lang w:val="en-US" w:eastAsia="zh-CN"/>
        </w:rPr>
        <w:t>小流域综合治理</w:t>
      </w:r>
      <w:r>
        <w:rPr>
          <w:rFonts w:hint="default" w:ascii="Times New Roman" w:hAnsi="Times New Roman" w:cs="Times New Roman"/>
          <w:b w:val="0"/>
          <w:bCs/>
          <w:color w:val="auto"/>
          <w:kern w:val="2"/>
          <w:sz w:val="28"/>
          <w:szCs w:val="28"/>
          <w:lang w:val="en-US" w:eastAsia="zh-CN"/>
        </w:rPr>
        <w:t>，</w:t>
      </w:r>
      <w:r>
        <w:rPr>
          <w:rFonts w:hint="default" w:ascii="Times New Roman" w:hAnsi="Times New Roman" w:cs="Times New Roman"/>
          <w:color w:val="auto"/>
          <w:kern w:val="2"/>
          <w:sz w:val="28"/>
          <w:szCs w:val="28"/>
          <w:lang w:eastAsia="zh-CN"/>
        </w:rPr>
        <w:t>规划治理水土流失面积</w:t>
      </w:r>
      <w:r>
        <w:rPr>
          <w:rFonts w:hint="default" w:ascii="Times New Roman" w:hAnsi="Times New Roman" w:cs="Times New Roman"/>
          <w:color w:val="auto"/>
          <w:kern w:val="2"/>
          <w:sz w:val="28"/>
          <w:szCs w:val="28"/>
          <w:lang w:val="en-US" w:eastAsia="zh-CN"/>
        </w:rPr>
        <w:t>1175平方公里</w:t>
      </w:r>
      <w:r>
        <w:rPr>
          <w:rFonts w:hint="default" w:ascii="Times New Roman" w:hAnsi="Times New Roman" w:cs="Times New Roman"/>
          <w:color w:val="auto"/>
          <w:kern w:val="2"/>
          <w:sz w:val="28"/>
          <w:szCs w:val="28"/>
          <w:lang w:eastAsia="zh-CN"/>
        </w:rPr>
        <w:t>。</w:t>
      </w:r>
    </w:p>
    <w:p w14:paraId="6BF930EE">
      <w:pPr>
        <w:pStyle w:val="26"/>
        <w:adjustRightInd/>
        <w:spacing w:after="0" w:line="360" w:lineRule="auto"/>
        <w:ind w:firstLine="562" w:firstLineChars="200"/>
        <w:rPr>
          <w:rFonts w:hint="default" w:ascii="Times New Roman" w:hAnsi="Times New Roman" w:cs="Times New Roman"/>
          <w:b/>
          <w:bCs w:val="0"/>
          <w:color w:val="auto"/>
          <w:kern w:val="2"/>
          <w:sz w:val="28"/>
          <w:szCs w:val="28"/>
          <w:lang w:val="en-US" w:eastAsia="zh-CN"/>
        </w:rPr>
      </w:pPr>
      <w:r>
        <w:rPr>
          <w:rFonts w:hint="default" w:ascii="Times New Roman" w:hAnsi="Times New Roman" w:cs="Times New Roman"/>
          <w:b/>
          <w:bCs w:val="0"/>
          <w:color w:val="auto"/>
          <w:kern w:val="2"/>
          <w:sz w:val="28"/>
          <w:szCs w:val="28"/>
          <w:lang w:val="en-US" w:eastAsia="zh-CN"/>
        </w:rPr>
        <w:t>（2）以奖代补水土保持工程</w:t>
      </w:r>
    </w:p>
    <w:p w14:paraId="7306BD27">
      <w:pPr>
        <w:pStyle w:val="26"/>
        <w:adjustRightInd/>
        <w:spacing w:after="0" w:line="360" w:lineRule="auto"/>
        <w:ind w:firstLine="560" w:firstLineChars="200"/>
        <w:rPr>
          <w:rFonts w:hint="default" w:ascii="Times New Roman" w:hAnsi="Times New Roman" w:cs="Times New Roman"/>
          <w:color w:val="auto"/>
          <w:kern w:val="2"/>
          <w:sz w:val="28"/>
          <w:szCs w:val="28"/>
          <w:lang w:eastAsia="zh-CN"/>
        </w:rPr>
      </w:pPr>
      <w:r>
        <w:rPr>
          <w:rFonts w:hint="default" w:ascii="Times New Roman" w:hAnsi="Times New Roman" w:cs="Times New Roman"/>
          <w:color w:val="auto"/>
          <w:kern w:val="2"/>
          <w:sz w:val="28"/>
          <w:szCs w:val="28"/>
          <w:highlight w:val="none"/>
          <w:lang w:val="en-US" w:eastAsia="zh-CN"/>
        </w:rPr>
        <w:t>在小流域综合治理的基础上，按照《贵州省水土保持工程建设以奖代补实施办法》</w:t>
      </w:r>
      <w:r>
        <w:rPr>
          <w:rFonts w:hint="default" w:ascii="Times New Roman" w:hAnsi="Times New Roman" w:eastAsia="宋体" w:cs="Times New Roman"/>
          <w:color w:val="auto"/>
          <w:kern w:val="2"/>
          <w:sz w:val="28"/>
          <w:szCs w:val="28"/>
          <w:lang w:val="en-US" w:eastAsia="zh-CN"/>
        </w:rPr>
        <w:t>，通过拓宽资金渠道，</w:t>
      </w:r>
      <w:r>
        <w:rPr>
          <w:rFonts w:hint="default" w:ascii="Times New Roman" w:hAnsi="Times New Roman" w:cs="Times New Roman"/>
          <w:color w:val="auto"/>
          <w:kern w:val="2"/>
          <w:sz w:val="28"/>
          <w:szCs w:val="28"/>
          <w:lang w:val="en-US" w:eastAsia="zh-CN"/>
        </w:rPr>
        <w:t>鼓励和引导社会力量以及广大群众参与水土保持工程建设，加快推进水土流失防治步伐。</w:t>
      </w:r>
      <w:r>
        <w:rPr>
          <w:rFonts w:hint="default" w:ascii="Times New Roman" w:hAnsi="Times New Roman" w:eastAsia="宋体" w:cs="Times New Roman"/>
          <w:color w:val="auto"/>
          <w:kern w:val="2"/>
          <w:sz w:val="28"/>
          <w:szCs w:val="28"/>
          <w:lang w:val="en-US" w:eastAsia="zh-CN"/>
        </w:rPr>
        <w:t>水土保持工程建设以奖代补项目数量由省水利厅经比选、考核确定</w:t>
      </w:r>
      <w:r>
        <w:rPr>
          <w:rFonts w:hint="default" w:ascii="Times New Roman" w:hAnsi="Times New Roman" w:cs="Times New Roman"/>
          <w:b w:val="0"/>
          <w:bCs/>
          <w:color w:val="auto"/>
          <w:kern w:val="2"/>
          <w:sz w:val="28"/>
          <w:szCs w:val="28"/>
          <w:lang w:val="en-US" w:eastAsia="zh-CN"/>
        </w:rPr>
        <w:t>，实施数量和治理面积包含在小流域综合治理项目范围内</w:t>
      </w:r>
      <w:r>
        <w:rPr>
          <w:rFonts w:hint="default" w:ascii="Times New Roman" w:hAnsi="Times New Roman" w:cs="Times New Roman"/>
          <w:color w:val="auto"/>
          <w:kern w:val="2"/>
          <w:sz w:val="28"/>
          <w:szCs w:val="28"/>
          <w:lang w:eastAsia="zh-CN"/>
        </w:rPr>
        <w:t>。</w:t>
      </w:r>
    </w:p>
    <w:p w14:paraId="6F9273AC">
      <w:pPr>
        <w:pStyle w:val="26"/>
        <w:adjustRightInd/>
        <w:spacing w:after="0" w:line="360" w:lineRule="auto"/>
        <w:ind w:firstLine="562" w:firstLineChars="200"/>
        <w:rPr>
          <w:rFonts w:hint="default" w:ascii="Times New Roman" w:hAnsi="Times New Roman" w:cs="Times New Roman"/>
          <w:color w:val="auto"/>
          <w:kern w:val="2"/>
          <w:sz w:val="28"/>
          <w:szCs w:val="28"/>
          <w:lang w:eastAsia="zh-CN"/>
        </w:rPr>
      </w:pPr>
      <w:r>
        <w:rPr>
          <w:rFonts w:hint="default" w:ascii="Times New Roman" w:hAnsi="Times New Roman" w:cs="Times New Roman"/>
          <w:b/>
          <w:bCs w:val="0"/>
          <w:color w:val="auto"/>
          <w:kern w:val="2"/>
          <w:sz w:val="28"/>
          <w:szCs w:val="28"/>
          <w:lang w:val="en-US" w:eastAsia="zh-CN"/>
        </w:rPr>
        <w:t>（3）生态清洁小流域综合治理</w:t>
      </w:r>
    </w:p>
    <w:p w14:paraId="4FACDC16">
      <w:pPr>
        <w:pStyle w:val="26"/>
        <w:adjustRightInd/>
        <w:spacing w:after="0" w:line="360" w:lineRule="auto"/>
        <w:ind w:firstLine="560" w:firstLineChars="200"/>
        <w:rPr>
          <w:rFonts w:hint="default" w:ascii="Times New Roman" w:hAnsi="Times New Roman" w:cs="Times New Roman"/>
          <w:color w:val="auto"/>
          <w:kern w:val="2"/>
          <w:sz w:val="28"/>
          <w:szCs w:val="28"/>
          <w:lang w:eastAsia="zh-CN"/>
        </w:rPr>
      </w:pPr>
      <w:r>
        <w:rPr>
          <w:rFonts w:hint="default" w:ascii="Times New Roman" w:hAnsi="Times New Roman" w:eastAsia="宋体" w:cs="Times New Roman"/>
          <w:color w:val="auto"/>
          <w:kern w:val="2"/>
          <w:sz w:val="28"/>
          <w:szCs w:val="28"/>
          <w:lang w:val="en-US" w:eastAsia="zh-CN"/>
        </w:rPr>
        <w:t>以农村“生产发展、村容整洁”为切入点，主要改善农村水土流失地区的生产生活条件和生态环境，通过实施生态修复、</w:t>
      </w:r>
      <w:r>
        <w:rPr>
          <w:rFonts w:hint="eastAsia" w:ascii="Times New Roman" w:hAnsi="Times New Roman" w:eastAsia="宋体" w:cs="Times New Roman"/>
          <w:color w:val="auto"/>
          <w:kern w:val="2"/>
          <w:sz w:val="28"/>
          <w:szCs w:val="28"/>
          <w:lang w:val="en-US" w:eastAsia="zh-CN"/>
        </w:rPr>
        <w:t>重点河流两岸、</w:t>
      </w:r>
      <w:r>
        <w:rPr>
          <w:rFonts w:hint="default" w:ascii="Times New Roman" w:hAnsi="Times New Roman" w:eastAsia="宋体" w:cs="Times New Roman"/>
          <w:color w:val="auto"/>
          <w:kern w:val="2"/>
          <w:sz w:val="28"/>
          <w:szCs w:val="28"/>
          <w:lang w:val="en-US" w:eastAsia="zh-CN"/>
        </w:rPr>
        <w:t>沟（河）道及湖库周边治理，整治流域上、中游面源污染，完善农村基础设施和公共服务设施，做到水土流失治理与水源和水环境保护、农业集约化生产、人居环境改善相结合，使小流域达到景观优美、自然和谐、卫生清洁、人居舒适，促进地方经济快速发展，助推乡村振兴建设。“十四五”期间，计划实施</w:t>
      </w:r>
      <w:r>
        <w:rPr>
          <w:rFonts w:hint="default" w:ascii="Times New Roman" w:hAnsi="Times New Roman" w:cs="Times New Roman"/>
          <w:b w:val="0"/>
          <w:bCs/>
          <w:color w:val="auto"/>
          <w:kern w:val="2"/>
          <w:sz w:val="28"/>
          <w:szCs w:val="28"/>
          <w:lang w:val="en-US" w:eastAsia="zh-CN"/>
        </w:rPr>
        <w:t>58条生态</w:t>
      </w:r>
      <w:r>
        <w:rPr>
          <w:rFonts w:hint="default" w:ascii="Times New Roman" w:hAnsi="Times New Roman" w:eastAsia="宋体" w:cs="Times New Roman"/>
          <w:color w:val="auto"/>
          <w:kern w:val="2"/>
          <w:sz w:val="28"/>
          <w:szCs w:val="28"/>
          <w:lang w:val="en-US" w:eastAsia="zh-CN"/>
        </w:rPr>
        <w:t>清洁小流域综合治理</w:t>
      </w:r>
      <w:r>
        <w:rPr>
          <w:rFonts w:hint="default" w:ascii="Times New Roman" w:hAnsi="Times New Roman" w:cs="Times New Roman"/>
          <w:b w:val="0"/>
          <w:bCs/>
          <w:color w:val="auto"/>
          <w:kern w:val="2"/>
          <w:sz w:val="28"/>
          <w:szCs w:val="28"/>
          <w:lang w:val="en-US" w:eastAsia="zh-CN"/>
        </w:rPr>
        <w:t>，</w:t>
      </w:r>
      <w:r>
        <w:rPr>
          <w:rFonts w:hint="default" w:ascii="Times New Roman" w:hAnsi="Times New Roman" w:cs="Times New Roman"/>
          <w:color w:val="auto"/>
          <w:kern w:val="2"/>
          <w:sz w:val="28"/>
          <w:szCs w:val="28"/>
          <w:lang w:eastAsia="zh-CN"/>
        </w:rPr>
        <w:t>规划治理水土流失面积</w:t>
      </w:r>
      <w:r>
        <w:rPr>
          <w:rFonts w:hint="default" w:ascii="Times New Roman" w:hAnsi="Times New Roman" w:cs="Times New Roman"/>
          <w:color w:val="auto"/>
          <w:kern w:val="2"/>
          <w:sz w:val="28"/>
          <w:szCs w:val="28"/>
          <w:lang w:val="en-US" w:eastAsia="zh-CN"/>
        </w:rPr>
        <w:t>825</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cs="Times New Roman"/>
          <w:color w:val="auto"/>
          <w:kern w:val="2"/>
          <w:sz w:val="28"/>
          <w:szCs w:val="28"/>
          <w:lang w:eastAsia="zh-CN"/>
        </w:rPr>
        <w:t>。</w:t>
      </w:r>
    </w:p>
    <w:p w14:paraId="3BE4CD00">
      <w:pPr>
        <w:pStyle w:val="26"/>
        <w:adjustRightInd/>
        <w:spacing w:after="0" w:line="360" w:lineRule="auto"/>
        <w:ind w:firstLine="562" w:firstLineChars="200"/>
        <w:rPr>
          <w:rFonts w:hint="default" w:ascii="Times New Roman" w:hAnsi="Times New Roman" w:cs="Times New Roman"/>
          <w:b/>
          <w:bCs/>
          <w:color w:val="auto"/>
          <w:kern w:val="2"/>
          <w:sz w:val="28"/>
          <w:szCs w:val="28"/>
          <w:lang w:eastAsia="zh-CN"/>
        </w:rPr>
      </w:pPr>
      <w:r>
        <w:rPr>
          <w:rFonts w:hint="default" w:ascii="Times New Roman" w:hAnsi="Times New Roman" w:eastAsia="宋体" w:cs="Times New Roman"/>
          <w:b/>
          <w:bCs/>
          <w:color w:val="auto"/>
          <w:sz w:val="28"/>
          <w:szCs w:val="28"/>
          <w:lang w:val="en-US" w:eastAsia="zh-CN"/>
        </w:rPr>
        <w:t>（4）林下水土流失综合治理</w:t>
      </w:r>
    </w:p>
    <w:p w14:paraId="349FE9FC">
      <w:pPr>
        <w:pStyle w:val="26"/>
        <w:adjustRightInd/>
        <w:spacing w:after="0" w:line="360" w:lineRule="auto"/>
        <w:ind w:firstLine="560" w:firstLineChars="200"/>
        <w:rPr>
          <w:rFonts w:hint="default" w:ascii="Times New Roman" w:hAnsi="Times New Roman" w:cs="Times New Roman"/>
          <w:color w:val="auto"/>
          <w:kern w:val="2"/>
          <w:sz w:val="28"/>
          <w:szCs w:val="28"/>
          <w:lang w:eastAsia="zh-CN"/>
        </w:rPr>
      </w:pPr>
      <w:r>
        <w:rPr>
          <w:rFonts w:hint="default" w:ascii="Times New Roman" w:hAnsi="Times New Roman" w:eastAsia="宋体" w:cs="Times New Roman"/>
          <w:color w:val="auto"/>
          <w:kern w:val="2"/>
          <w:sz w:val="28"/>
          <w:szCs w:val="28"/>
          <w:lang w:val="en-US" w:eastAsia="zh-CN"/>
        </w:rPr>
        <w:t>按照国务院办公厅印发的《关于加快林下经济发展的意见》以及国家林草局、国家发改委等十部委联合印发《关于科学利用林地资源促进木本粮油和林下经济高质量发展的意见》。为积极响应我省发展和提升林下经济的号召，充分发挥“两山”理念，依托有水土流失迹象的林地及其生态环境，积极探索“不负青山绿水，健康中国；不忘金山银山，振兴乡村”为目标的现代林下经济水土流失综合治理模式。“十四五”期间，计划在40个林下经济项目点实施水土流失综合治理，规划治理水土流失面积400平方公里。</w:t>
      </w:r>
    </w:p>
    <w:p w14:paraId="0C211C2F">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4" w:name="_Toc24468"/>
      <w:r>
        <w:rPr>
          <w:rFonts w:hint="default" w:ascii="Times New Roman" w:hAnsi="Times New Roman" w:eastAsia="楷体_GB2312" w:cs="Times New Roman"/>
          <w:b/>
          <w:bCs w:val="0"/>
          <w:snapToGrid w:val="0"/>
          <w:color w:val="auto"/>
          <w:kern w:val="2"/>
          <w:sz w:val="30"/>
          <w:szCs w:val="30"/>
          <w:lang w:val="en-US" w:eastAsia="zh-CN" w:bidi="ar-SA"/>
        </w:rPr>
        <w:t>（二）省级水土保持重点工程</w:t>
      </w:r>
      <w:bookmarkEnd w:id="164"/>
    </w:p>
    <w:p w14:paraId="164ABE8C">
      <w:pPr>
        <w:pStyle w:val="26"/>
        <w:adjustRightInd/>
        <w:spacing w:after="0" w:line="360" w:lineRule="auto"/>
        <w:ind w:firstLine="560" w:firstLineChars="200"/>
        <w:rPr>
          <w:rFonts w:hint="default" w:ascii="Times New Roman" w:hAnsi="Times New Roman" w:cs="Times New Roman"/>
          <w:color w:val="auto"/>
          <w:kern w:val="2"/>
          <w:sz w:val="28"/>
          <w:szCs w:val="28"/>
          <w:lang w:eastAsia="zh-CN"/>
        </w:rPr>
      </w:pPr>
      <w:r>
        <w:rPr>
          <w:rFonts w:hint="default" w:ascii="Times New Roman" w:hAnsi="Times New Roman" w:cs="Times New Roman"/>
          <w:color w:val="auto"/>
          <w:kern w:val="2"/>
          <w:sz w:val="28"/>
          <w:szCs w:val="28"/>
          <w:lang w:eastAsia="zh-CN"/>
        </w:rPr>
        <w:t>以省级财政投入为主，</w:t>
      </w:r>
      <w:r>
        <w:rPr>
          <w:rFonts w:hint="default" w:ascii="Times New Roman" w:hAnsi="Times New Roman" w:cs="Times New Roman"/>
          <w:color w:val="auto"/>
          <w:kern w:val="2"/>
          <w:sz w:val="28"/>
          <w:szCs w:val="28"/>
          <w:lang w:val="en-US" w:eastAsia="zh-CN"/>
        </w:rPr>
        <w:t>在</w:t>
      </w:r>
      <w:r>
        <w:rPr>
          <w:rFonts w:hint="default" w:ascii="Times New Roman" w:hAnsi="Times New Roman" w:cs="Times New Roman"/>
          <w:color w:val="auto"/>
          <w:kern w:val="2"/>
          <w:sz w:val="28"/>
          <w:szCs w:val="28"/>
          <w:lang w:eastAsia="zh-CN"/>
        </w:rPr>
        <w:t>省级水土流失重点治理区</w:t>
      </w:r>
      <w:r>
        <w:rPr>
          <w:rFonts w:hint="default" w:ascii="Times New Roman" w:hAnsi="Times New Roman" w:cs="Times New Roman"/>
          <w:color w:val="auto"/>
          <w:kern w:val="2"/>
          <w:sz w:val="28"/>
          <w:szCs w:val="28"/>
          <w:lang w:val="en-US" w:eastAsia="zh-CN"/>
        </w:rPr>
        <w:t>内</w:t>
      </w:r>
      <w:r>
        <w:rPr>
          <w:rFonts w:hint="default" w:ascii="Times New Roman" w:hAnsi="Times New Roman" w:cs="Times New Roman"/>
          <w:color w:val="auto"/>
          <w:kern w:val="2"/>
          <w:sz w:val="28"/>
          <w:szCs w:val="28"/>
          <w:lang w:eastAsia="zh-CN"/>
        </w:rPr>
        <w:t>，</w:t>
      </w:r>
      <w:r>
        <w:rPr>
          <w:rFonts w:hint="default" w:ascii="Times New Roman" w:hAnsi="Times New Roman" w:cs="Times New Roman"/>
          <w:color w:val="auto"/>
          <w:kern w:val="2"/>
          <w:sz w:val="28"/>
          <w:szCs w:val="28"/>
          <w:lang w:val="en-US" w:eastAsia="zh-CN"/>
        </w:rPr>
        <w:t>采取与国家水土保持重点工程一样的治理模式。</w:t>
      </w:r>
      <w:r>
        <w:rPr>
          <w:rFonts w:hint="default" w:ascii="Times New Roman" w:hAnsi="Times New Roman" w:cs="Times New Roman"/>
          <w:b w:val="0"/>
          <w:bCs/>
          <w:color w:val="auto"/>
          <w:kern w:val="2"/>
          <w:sz w:val="28"/>
          <w:szCs w:val="28"/>
          <w:lang w:eastAsia="zh-CN"/>
        </w:rPr>
        <w:t>“</w:t>
      </w:r>
      <w:r>
        <w:rPr>
          <w:rFonts w:hint="default" w:ascii="Times New Roman" w:hAnsi="Times New Roman" w:cs="Times New Roman"/>
          <w:b w:val="0"/>
          <w:bCs/>
          <w:color w:val="auto"/>
          <w:kern w:val="2"/>
          <w:sz w:val="28"/>
          <w:szCs w:val="28"/>
          <w:lang w:val="en-US" w:eastAsia="zh-CN"/>
        </w:rPr>
        <w:t>十四五</w:t>
      </w:r>
      <w:r>
        <w:rPr>
          <w:rFonts w:hint="default" w:ascii="Times New Roman" w:hAnsi="Times New Roman" w:cs="Times New Roman"/>
          <w:b w:val="0"/>
          <w:bCs/>
          <w:color w:val="auto"/>
          <w:kern w:val="2"/>
          <w:sz w:val="28"/>
          <w:szCs w:val="28"/>
          <w:lang w:eastAsia="zh-CN"/>
        </w:rPr>
        <w:t>”</w:t>
      </w:r>
      <w:r>
        <w:rPr>
          <w:rFonts w:hint="default" w:ascii="Times New Roman" w:hAnsi="Times New Roman" w:cs="Times New Roman"/>
          <w:b w:val="0"/>
          <w:bCs/>
          <w:color w:val="auto"/>
          <w:kern w:val="2"/>
          <w:sz w:val="28"/>
          <w:szCs w:val="28"/>
          <w:lang w:val="en-US" w:eastAsia="zh-CN"/>
        </w:rPr>
        <w:t>期间，计划实施省级水土保持重点工程32个，</w:t>
      </w:r>
      <w:r>
        <w:rPr>
          <w:rFonts w:hint="default" w:ascii="Times New Roman" w:hAnsi="Times New Roman" w:cs="Times New Roman"/>
          <w:color w:val="auto"/>
          <w:kern w:val="2"/>
          <w:sz w:val="28"/>
          <w:szCs w:val="28"/>
          <w:lang w:eastAsia="zh-CN"/>
        </w:rPr>
        <w:t>治理面积400</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cs="Times New Roman"/>
          <w:color w:val="auto"/>
          <w:kern w:val="2"/>
          <w:sz w:val="28"/>
          <w:szCs w:val="28"/>
          <w:lang w:eastAsia="zh-CN"/>
        </w:rPr>
        <w:t>。</w:t>
      </w:r>
    </w:p>
    <w:p w14:paraId="28E61E08">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5" w:name="_Toc19426"/>
      <w:r>
        <w:rPr>
          <w:rFonts w:hint="default" w:ascii="Times New Roman" w:hAnsi="Times New Roman" w:eastAsia="楷体_GB2312" w:cs="Times New Roman"/>
          <w:b/>
          <w:bCs w:val="0"/>
          <w:snapToGrid w:val="0"/>
          <w:color w:val="auto"/>
          <w:kern w:val="2"/>
          <w:sz w:val="30"/>
          <w:szCs w:val="30"/>
          <w:lang w:val="en-US" w:eastAsia="zh-CN" w:bidi="ar-SA"/>
        </w:rPr>
        <w:t>（三）坡耕地水土流失重点治理工程</w:t>
      </w:r>
      <w:bookmarkEnd w:id="165"/>
    </w:p>
    <w:p w14:paraId="70143615">
      <w:pPr>
        <w:pStyle w:val="26"/>
        <w:adjustRightInd/>
        <w:spacing w:after="0" w:line="360" w:lineRule="auto"/>
        <w:ind w:firstLine="560" w:firstLineChars="200"/>
        <w:rPr>
          <w:rFonts w:hint="default" w:ascii="Times New Roman" w:hAnsi="Times New Roman" w:cs="Times New Roman"/>
          <w:color w:val="auto"/>
          <w:kern w:val="2"/>
          <w:sz w:val="28"/>
          <w:szCs w:val="28"/>
          <w:lang w:eastAsia="zh-CN"/>
        </w:rPr>
      </w:pPr>
      <w:r>
        <w:rPr>
          <w:rFonts w:hint="default" w:ascii="Times New Roman" w:hAnsi="Times New Roman" w:cs="Times New Roman"/>
          <w:b w:val="0"/>
          <w:bCs/>
          <w:color w:val="auto"/>
          <w:kern w:val="2"/>
          <w:sz w:val="28"/>
          <w:szCs w:val="28"/>
          <w:lang w:val="en-US" w:eastAsia="zh-CN"/>
        </w:rPr>
        <w:t>按照国家发改委《全国重要生态系统保护和修复重大工程规划（2021—2035年）》、水利部《水土保持“十四五”实施方案》中明确提出在长江中上游水土流失严重区域，推进坡耕地水土流失综合治理的要求，</w:t>
      </w:r>
      <w:r>
        <w:rPr>
          <w:rFonts w:hint="default" w:ascii="Times New Roman" w:hAnsi="Times New Roman" w:cs="Times New Roman"/>
          <w:b w:val="0"/>
          <w:bCs/>
          <w:color w:val="auto"/>
          <w:kern w:val="2"/>
          <w:sz w:val="28"/>
          <w:szCs w:val="28"/>
          <w:lang w:eastAsia="zh-CN"/>
        </w:rPr>
        <w:t>在</w:t>
      </w:r>
      <w:r>
        <w:rPr>
          <w:rFonts w:hint="default" w:ascii="Times New Roman" w:hAnsi="Times New Roman" w:cs="Times New Roman"/>
          <w:b w:val="0"/>
          <w:bCs/>
          <w:color w:val="auto"/>
          <w:kern w:val="2"/>
          <w:sz w:val="28"/>
          <w:szCs w:val="28"/>
          <w:lang w:val="en-US" w:eastAsia="zh-CN"/>
        </w:rPr>
        <w:t>全省</w:t>
      </w:r>
      <w:r>
        <w:rPr>
          <w:rFonts w:hint="default" w:ascii="Times New Roman" w:hAnsi="Times New Roman" w:cs="Times New Roman"/>
          <w:b w:val="0"/>
          <w:bCs/>
          <w:color w:val="auto"/>
          <w:kern w:val="2"/>
          <w:sz w:val="28"/>
          <w:szCs w:val="28"/>
          <w:lang w:eastAsia="zh-CN"/>
        </w:rPr>
        <w:t>坡耕地分布相对集中、水土流失严重的区域</w:t>
      </w:r>
      <w:r>
        <w:rPr>
          <w:rFonts w:hint="eastAsia" w:ascii="Times New Roman" w:hAnsi="Times New Roman" w:cs="Times New Roman"/>
          <w:b w:val="0"/>
          <w:bCs/>
          <w:color w:val="auto"/>
          <w:kern w:val="2"/>
          <w:sz w:val="28"/>
          <w:szCs w:val="28"/>
          <w:lang w:eastAsia="zh-CN"/>
        </w:rPr>
        <w:t>，</w:t>
      </w:r>
      <w:r>
        <w:rPr>
          <w:rFonts w:hint="default" w:ascii="Times New Roman" w:hAnsi="Times New Roman" w:cs="Times New Roman"/>
          <w:b w:val="0"/>
          <w:bCs/>
          <w:color w:val="auto"/>
          <w:kern w:val="2"/>
          <w:sz w:val="28"/>
          <w:szCs w:val="28"/>
          <w:lang w:val="en-US" w:eastAsia="zh-CN"/>
        </w:rPr>
        <w:t>开展坡耕地水土流失治理</w:t>
      </w:r>
      <w:r>
        <w:rPr>
          <w:rFonts w:hint="default" w:ascii="Times New Roman" w:hAnsi="Times New Roman" w:cs="Times New Roman"/>
          <w:b w:val="0"/>
          <w:bCs/>
          <w:color w:val="auto"/>
          <w:kern w:val="2"/>
          <w:sz w:val="28"/>
          <w:szCs w:val="28"/>
          <w:lang w:eastAsia="zh-CN"/>
        </w:rPr>
        <w:t>。“</w:t>
      </w:r>
      <w:r>
        <w:rPr>
          <w:rFonts w:hint="default" w:ascii="Times New Roman" w:hAnsi="Times New Roman" w:cs="Times New Roman"/>
          <w:b w:val="0"/>
          <w:bCs/>
          <w:color w:val="auto"/>
          <w:kern w:val="2"/>
          <w:sz w:val="28"/>
          <w:szCs w:val="28"/>
          <w:lang w:val="en-US" w:eastAsia="zh-CN"/>
        </w:rPr>
        <w:t>十四五</w:t>
      </w:r>
      <w:r>
        <w:rPr>
          <w:rFonts w:hint="default" w:ascii="Times New Roman" w:hAnsi="Times New Roman" w:cs="Times New Roman"/>
          <w:b w:val="0"/>
          <w:bCs/>
          <w:color w:val="auto"/>
          <w:kern w:val="2"/>
          <w:sz w:val="28"/>
          <w:szCs w:val="28"/>
          <w:lang w:eastAsia="zh-CN"/>
        </w:rPr>
        <w:t>”</w:t>
      </w:r>
      <w:r>
        <w:rPr>
          <w:rFonts w:hint="default" w:ascii="Times New Roman" w:hAnsi="Times New Roman" w:cs="Times New Roman"/>
          <w:b w:val="0"/>
          <w:bCs/>
          <w:color w:val="auto"/>
          <w:kern w:val="2"/>
          <w:sz w:val="28"/>
          <w:szCs w:val="28"/>
          <w:lang w:val="en-US" w:eastAsia="zh-CN"/>
        </w:rPr>
        <w:t>期间，计划实施坡耕地水土流失重点治理工程50个，</w:t>
      </w:r>
      <w:r>
        <w:rPr>
          <w:rFonts w:hint="default" w:ascii="Times New Roman" w:hAnsi="Times New Roman" w:cs="Times New Roman"/>
          <w:color w:val="auto"/>
          <w:kern w:val="2"/>
          <w:sz w:val="28"/>
          <w:szCs w:val="28"/>
          <w:lang w:eastAsia="zh-CN"/>
        </w:rPr>
        <w:t>治理面积</w:t>
      </w:r>
      <w:r>
        <w:rPr>
          <w:rFonts w:hint="default" w:ascii="Times New Roman" w:hAnsi="Times New Roman" w:cs="Times New Roman"/>
          <w:color w:val="auto"/>
          <w:kern w:val="2"/>
          <w:sz w:val="28"/>
          <w:szCs w:val="28"/>
          <w:lang w:val="en-US" w:eastAsia="zh-CN"/>
        </w:rPr>
        <w:t>12</w:t>
      </w:r>
      <w:r>
        <w:rPr>
          <w:rFonts w:hint="default" w:ascii="Times New Roman" w:hAnsi="Times New Roman" w:cs="Times New Roman"/>
          <w:color w:val="auto"/>
          <w:kern w:val="2"/>
          <w:sz w:val="28"/>
          <w:szCs w:val="28"/>
          <w:lang w:eastAsia="zh-CN"/>
        </w:rPr>
        <w:t>0</w:t>
      </w:r>
      <w:r>
        <w:rPr>
          <w:rFonts w:hint="default" w:ascii="Times New Roman" w:hAnsi="Times New Roman" w:cs="Times New Roman"/>
          <w:b w:val="0"/>
          <w:bCs/>
          <w:color w:val="auto"/>
          <w:kern w:val="2"/>
          <w:sz w:val="28"/>
          <w:szCs w:val="28"/>
          <w:lang w:val="en-US" w:eastAsia="zh-CN"/>
        </w:rPr>
        <w:t>平方公里</w:t>
      </w:r>
      <w:r>
        <w:rPr>
          <w:rFonts w:hint="default" w:ascii="Times New Roman" w:hAnsi="Times New Roman" w:cs="Times New Roman"/>
          <w:color w:val="auto"/>
          <w:kern w:val="2"/>
          <w:sz w:val="28"/>
          <w:szCs w:val="28"/>
          <w:lang w:eastAsia="zh-CN"/>
        </w:rPr>
        <w:t>。</w:t>
      </w:r>
    </w:p>
    <w:p w14:paraId="01D81677">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6" w:name="_Toc2728"/>
      <w:r>
        <w:rPr>
          <w:rFonts w:hint="default" w:ascii="Times New Roman" w:hAnsi="Times New Roman" w:eastAsia="楷体_GB2312" w:cs="Times New Roman"/>
          <w:b/>
          <w:bCs w:val="0"/>
          <w:snapToGrid w:val="0"/>
          <w:color w:val="auto"/>
          <w:kern w:val="2"/>
          <w:sz w:val="30"/>
          <w:szCs w:val="30"/>
          <w:lang w:val="en-US" w:eastAsia="zh-CN" w:bidi="ar-SA"/>
        </w:rPr>
        <w:t>（四）林地草原保护工程</w:t>
      </w:r>
      <w:bookmarkEnd w:id="166"/>
    </w:p>
    <w:p w14:paraId="220338D1">
      <w:pPr>
        <w:pStyle w:val="9"/>
        <w:rPr>
          <w:rFonts w:hint="default" w:ascii="Times New Roman" w:hAnsi="Times New Roman" w:cs="Times New Roman"/>
          <w:b w:val="0"/>
          <w:bCs/>
          <w:color w:val="auto"/>
          <w:kern w:val="2"/>
          <w:sz w:val="28"/>
          <w:szCs w:val="28"/>
          <w:lang w:val="en-US" w:eastAsia="zh-CN" w:bidi="ar-SA"/>
        </w:rPr>
      </w:pPr>
      <w:r>
        <w:rPr>
          <w:rFonts w:hint="default" w:ascii="Times New Roman" w:hAnsi="Times New Roman" w:cs="Times New Roman" w:eastAsiaTheme="minorEastAsia"/>
          <w:b w:val="0"/>
          <w:bCs/>
          <w:color w:val="auto"/>
          <w:kern w:val="2"/>
          <w:sz w:val="28"/>
          <w:szCs w:val="28"/>
          <w:lang w:val="en-US" w:eastAsia="zh-CN" w:bidi="ar-SA"/>
        </w:rPr>
        <w:t>根据《贵州省“十四五”林业草原保护发展规划》</w:t>
      </w:r>
      <w:r>
        <w:rPr>
          <w:rFonts w:hint="default" w:ascii="Times New Roman" w:hAnsi="Times New Roman" w:cs="Times New Roman"/>
          <w:b w:val="0"/>
          <w:bCs/>
          <w:color w:val="auto"/>
          <w:kern w:val="2"/>
          <w:sz w:val="28"/>
          <w:szCs w:val="28"/>
          <w:lang w:val="en-US" w:eastAsia="zh-CN" w:bidi="ar-SA"/>
        </w:rPr>
        <w:t>，林业部门通过实施低产林改造、退化林修复、森林抚育等工程，共计治理水土流失面积1000万亩，约6666平方公里。</w:t>
      </w:r>
    </w:p>
    <w:p w14:paraId="34AD3CC9">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r>
        <w:rPr>
          <w:rFonts w:hint="default" w:ascii="Times New Roman" w:hAnsi="Times New Roman" w:eastAsia="楷体_GB2312" w:cs="Times New Roman"/>
          <w:b/>
          <w:bCs w:val="0"/>
          <w:snapToGrid w:val="0"/>
          <w:color w:val="auto"/>
          <w:kern w:val="2"/>
          <w:sz w:val="30"/>
          <w:szCs w:val="30"/>
          <w:lang w:val="en-US" w:eastAsia="zh-CN" w:bidi="ar-SA"/>
        </w:rPr>
        <w:t>（五）矿山生态修复工程</w:t>
      </w:r>
    </w:p>
    <w:p w14:paraId="7CD4D7D8">
      <w:pPr>
        <w:pStyle w:val="9"/>
        <w:rPr>
          <w:rFonts w:hint="default" w:ascii="Times New Roman" w:hAnsi="Times New Roman" w:cs="Times New Roman" w:eastAsiaTheme="minorEastAsia"/>
          <w:b w:val="0"/>
          <w:bCs/>
          <w:color w:val="auto"/>
          <w:kern w:val="2"/>
          <w:sz w:val="28"/>
          <w:szCs w:val="28"/>
          <w:lang w:val="en-US" w:eastAsia="zh-CN" w:bidi="ar-SA"/>
        </w:rPr>
      </w:pPr>
      <w:r>
        <w:rPr>
          <w:rFonts w:hint="default" w:ascii="Times New Roman" w:hAnsi="Times New Roman" w:cs="Times New Roman"/>
          <w:b w:val="0"/>
          <w:bCs/>
          <w:color w:val="auto"/>
          <w:kern w:val="2"/>
          <w:sz w:val="28"/>
          <w:szCs w:val="28"/>
          <w:lang w:val="en-US" w:eastAsia="zh-CN" w:bidi="ar-SA"/>
        </w:rPr>
        <w:t>根据</w:t>
      </w:r>
      <w:r>
        <w:rPr>
          <w:rFonts w:hint="default" w:ascii="Times New Roman" w:hAnsi="Times New Roman" w:cs="Times New Roman" w:eastAsiaTheme="minorEastAsia"/>
          <w:b w:val="0"/>
          <w:bCs/>
          <w:color w:val="auto"/>
          <w:kern w:val="2"/>
          <w:sz w:val="28"/>
          <w:szCs w:val="28"/>
          <w:lang w:val="en-US" w:eastAsia="zh-CN" w:bidi="ar-SA"/>
        </w:rPr>
        <w:t>《贵州省统筹推进山水林田湖草系统治理行动方案》</w:t>
      </w:r>
      <w:r>
        <w:rPr>
          <w:rFonts w:hint="default" w:ascii="Times New Roman" w:hAnsi="Times New Roman" w:cs="Times New Roman"/>
          <w:b w:val="0"/>
          <w:bCs/>
          <w:color w:val="auto"/>
          <w:kern w:val="2"/>
          <w:sz w:val="28"/>
          <w:szCs w:val="28"/>
          <w:lang w:val="en-US" w:eastAsia="zh-CN" w:bidi="ar-SA"/>
        </w:rPr>
        <w:t>，自然资源部门通过</w:t>
      </w:r>
      <w:r>
        <w:rPr>
          <w:rFonts w:hint="default" w:ascii="Times New Roman" w:hAnsi="Times New Roman" w:cs="Times New Roman" w:eastAsiaTheme="minorEastAsia"/>
          <w:b w:val="0"/>
          <w:bCs/>
          <w:color w:val="auto"/>
          <w:kern w:val="2"/>
          <w:sz w:val="28"/>
          <w:szCs w:val="28"/>
          <w:lang w:val="en-US" w:eastAsia="zh-CN" w:bidi="ar-SA"/>
        </w:rPr>
        <w:t>实施历史遗留矿山生态修复工程</w:t>
      </w:r>
      <w:r>
        <w:rPr>
          <w:rFonts w:hint="default" w:ascii="Times New Roman" w:hAnsi="Times New Roman" w:cs="Times New Roman"/>
          <w:b w:val="0"/>
          <w:bCs/>
          <w:color w:val="auto"/>
          <w:kern w:val="2"/>
          <w:sz w:val="28"/>
          <w:szCs w:val="28"/>
          <w:lang w:val="en-US" w:eastAsia="zh-CN" w:bidi="ar-SA"/>
        </w:rPr>
        <w:t>，治理水土流失面积40平方公里。</w:t>
      </w:r>
    </w:p>
    <w:p w14:paraId="5591B0D2">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7" w:name="_Toc3350"/>
      <w:r>
        <w:rPr>
          <w:rFonts w:hint="default" w:ascii="Times New Roman" w:hAnsi="Times New Roman" w:eastAsia="楷体_GB2312" w:cs="Times New Roman"/>
          <w:b/>
          <w:bCs w:val="0"/>
          <w:snapToGrid w:val="0"/>
          <w:color w:val="auto"/>
          <w:kern w:val="2"/>
          <w:sz w:val="30"/>
          <w:szCs w:val="30"/>
          <w:lang w:val="en-US" w:eastAsia="zh-CN" w:bidi="ar-SA"/>
        </w:rPr>
        <w:t>（六）土地综合整治工程</w:t>
      </w:r>
      <w:bookmarkEnd w:id="167"/>
    </w:p>
    <w:p w14:paraId="1468C6F4">
      <w:pPr>
        <w:pStyle w:val="9"/>
        <w:rPr>
          <w:rFonts w:hint="default" w:ascii="Times New Roman" w:hAnsi="Times New Roman" w:cs="Times New Roman"/>
          <w:color w:val="auto"/>
          <w:lang w:val="en-US" w:eastAsia="zh-CN"/>
        </w:rPr>
      </w:pPr>
      <w:r>
        <w:rPr>
          <w:rFonts w:hint="default" w:ascii="Times New Roman" w:hAnsi="Times New Roman" w:cs="Times New Roman"/>
          <w:b w:val="0"/>
          <w:bCs/>
          <w:color w:val="auto"/>
          <w:kern w:val="2"/>
          <w:sz w:val="28"/>
          <w:szCs w:val="28"/>
          <w:lang w:val="en-US" w:eastAsia="zh-CN" w:bidi="ar-SA"/>
        </w:rPr>
        <w:t>根据</w:t>
      </w:r>
      <w:r>
        <w:rPr>
          <w:rFonts w:hint="default" w:ascii="Times New Roman" w:hAnsi="Times New Roman" w:cs="Times New Roman" w:eastAsiaTheme="minorEastAsia"/>
          <w:b w:val="0"/>
          <w:bCs/>
          <w:color w:val="auto"/>
          <w:kern w:val="2"/>
          <w:sz w:val="28"/>
          <w:szCs w:val="28"/>
          <w:lang w:val="en-US" w:eastAsia="zh-CN" w:bidi="ar-SA"/>
        </w:rPr>
        <w:t>《贵州省统筹推进山水林田湖草系统治理行动方案》</w:t>
      </w:r>
      <w:r>
        <w:rPr>
          <w:rFonts w:hint="default" w:ascii="Times New Roman" w:hAnsi="Times New Roman" w:cs="Times New Roman"/>
          <w:b w:val="0"/>
          <w:bCs/>
          <w:color w:val="auto"/>
          <w:kern w:val="2"/>
          <w:sz w:val="28"/>
          <w:szCs w:val="28"/>
          <w:lang w:val="en-US" w:eastAsia="zh-CN" w:bidi="ar-SA"/>
        </w:rPr>
        <w:t>，自然资源部门通过实施土地综合整治</w:t>
      </w:r>
      <w:r>
        <w:rPr>
          <w:rFonts w:hint="default" w:ascii="Times New Roman" w:hAnsi="Times New Roman" w:cs="Times New Roman" w:eastAsiaTheme="minorEastAsia"/>
          <w:b w:val="0"/>
          <w:bCs/>
          <w:color w:val="auto"/>
          <w:kern w:val="2"/>
          <w:sz w:val="28"/>
          <w:szCs w:val="28"/>
          <w:lang w:val="en-US" w:eastAsia="zh-CN" w:bidi="ar-SA"/>
        </w:rPr>
        <w:t>工程</w:t>
      </w:r>
      <w:r>
        <w:rPr>
          <w:rFonts w:hint="default" w:ascii="Times New Roman" w:hAnsi="Times New Roman" w:cs="Times New Roman"/>
          <w:b w:val="0"/>
          <w:bCs/>
          <w:color w:val="auto"/>
          <w:kern w:val="2"/>
          <w:sz w:val="28"/>
          <w:szCs w:val="28"/>
          <w:lang w:val="en-US" w:eastAsia="zh-CN" w:bidi="ar-SA"/>
        </w:rPr>
        <w:t>，治理水土流失面积100平方公里。</w:t>
      </w:r>
    </w:p>
    <w:p w14:paraId="29590064">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8" w:name="_Toc26306"/>
      <w:r>
        <w:rPr>
          <w:rFonts w:hint="default" w:ascii="Times New Roman" w:hAnsi="Times New Roman" w:eastAsia="楷体_GB2312" w:cs="Times New Roman"/>
          <w:b/>
          <w:bCs w:val="0"/>
          <w:snapToGrid w:val="0"/>
          <w:color w:val="auto"/>
          <w:kern w:val="2"/>
          <w:sz w:val="30"/>
          <w:szCs w:val="30"/>
          <w:lang w:val="en-US" w:eastAsia="zh-CN" w:bidi="ar-SA"/>
        </w:rPr>
        <w:t>（七）山水林田湖草沙一体化保护和修复工程</w:t>
      </w:r>
      <w:bookmarkEnd w:id="168"/>
    </w:p>
    <w:p w14:paraId="13F5DDC8">
      <w:pPr>
        <w:pStyle w:val="9"/>
        <w:rPr>
          <w:rFonts w:hint="default" w:ascii="Times New Roman" w:hAnsi="Times New Roman" w:cs="Times New Roman"/>
          <w:color w:val="auto"/>
          <w:lang w:val="en-US" w:eastAsia="zh-CN"/>
        </w:rPr>
      </w:pPr>
      <w:r>
        <w:rPr>
          <w:rFonts w:hint="default" w:ascii="Times New Roman" w:hAnsi="Times New Roman" w:cs="Times New Roman"/>
          <w:b w:val="0"/>
          <w:bCs/>
          <w:color w:val="auto"/>
          <w:kern w:val="2"/>
          <w:sz w:val="28"/>
          <w:szCs w:val="28"/>
          <w:lang w:val="en-US" w:eastAsia="zh-CN" w:bidi="ar-SA"/>
        </w:rPr>
        <w:t>根据《</w:t>
      </w:r>
      <w:r>
        <w:rPr>
          <w:rFonts w:hint="default" w:ascii="Times New Roman" w:hAnsi="Times New Roman" w:cs="Times New Roman" w:eastAsiaTheme="minorEastAsia"/>
          <w:b w:val="0"/>
          <w:bCs/>
          <w:color w:val="auto"/>
          <w:kern w:val="2"/>
          <w:sz w:val="28"/>
          <w:szCs w:val="28"/>
          <w:lang w:val="en-US" w:eastAsia="zh-CN" w:bidi="ar-SA"/>
        </w:rPr>
        <w:t>武陵山区山水林田湖草沙一体化生态保护和修复工程实施方案》</w:t>
      </w:r>
      <w:r>
        <w:rPr>
          <w:rFonts w:hint="default" w:ascii="Times New Roman" w:hAnsi="Times New Roman" w:cs="Times New Roman"/>
          <w:b w:val="0"/>
          <w:bCs/>
          <w:color w:val="auto"/>
          <w:kern w:val="2"/>
          <w:sz w:val="28"/>
          <w:szCs w:val="28"/>
          <w:lang w:val="en-US" w:eastAsia="zh-CN" w:bidi="ar-SA"/>
        </w:rPr>
        <w:t>，自然资源部门通过实施生</w:t>
      </w:r>
      <w:r>
        <w:rPr>
          <w:rFonts w:hint="default" w:ascii="Times New Roman" w:hAnsi="Times New Roman" w:cs="Times New Roman" w:eastAsiaTheme="minorEastAsia"/>
          <w:b w:val="0"/>
          <w:bCs/>
          <w:color w:val="auto"/>
          <w:kern w:val="2"/>
          <w:sz w:val="28"/>
          <w:szCs w:val="28"/>
          <w:lang w:val="en-US" w:eastAsia="zh-CN" w:bidi="ar-SA"/>
        </w:rPr>
        <w:t>态修复</w:t>
      </w:r>
      <w:r>
        <w:rPr>
          <w:rFonts w:hint="default" w:ascii="Times New Roman" w:hAnsi="Times New Roman" w:cs="Times New Roman"/>
          <w:b w:val="0"/>
          <w:bCs/>
          <w:color w:val="auto"/>
          <w:kern w:val="2"/>
          <w:sz w:val="28"/>
          <w:szCs w:val="28"/>
          <w:lang w:val="en-US" w:eastAsia="zh-CN" w:bidi="ar-SA"/>
        </w:rPr>
        <w:t>、</w:t>
      </w:r>
      <w:r>
        <w:rPr>
          <w:rFonts w:hint="default" w:ascii="Times New Roman" w:hAnsi="Times New Roman" w:cs="Times New Roman" w:eastAsiaTheme="minorEastAsia"/>
          <w:b w:val="0"/>
          <w:bCs/>
          <w:color w:val="auto"/>
          <w:kern w:val="2"/>
          <w:sz w:val="28"/>
          <w:szCs w:val="28"/>
          <w:lang w:val="en-US" w:eastAsia="zh-CN" w:bidi="ar-SA"/>
        </w:rPr>
        <w:t>国土整治、生物多样性保护等工程</w:t>
      </w:r>
      <w:r>
        <w:rPr>
          <w:rFonts w:hint="default" w:ascii="Times New Roman" w:hAnsi="Times New Roman" w:cs="Times New Roman"/>
          <w:b w:val="0"/>
          <w:bCs/>
          <w:color w:val="auto"/>
          <w:kern w:val="2"/>
          <w:sz w:val="28"/>
          <w:szCs w:val="28"/>
          <w:lang w:val="en-US" w:eastAsia="zh-CN" w:bidi="ar-SA"/>
        </w:rPr>
        <w:t>，治理水土流失面积80平方公里。</w:t>
      </w:r>
    </w:p>
    <w:p w14:paraId="3C3D1606">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69" w:name="_Toc15891"/>
      <w:r>
        <w:rPr>
          <w:rFonts w:hint="default" w:ascii="Times New Roman" w:hAnsi="Times New Roman" w:eastAsia="楷体_GB2312" w:cs="Times New Roman"/>
          <w:b/>
          <w:bCs w:val="0"/>
          <w:snapToGrid w:val="0"/>
          <w:color w:val="auto"/>
          <w:kern w:val="2"/>
          <w:sz w:val="30"/>
          <w:szCs w:val="30"/>
          <w:lang w:val="en-US" w:eastAsia="zh-CN" w:bidi="ar-SA"/>
        </w:rPr>
        <w:t>（八）高标准农田建设工程</w:t>
      </w:r>
      <w:bookmarkEnd w:id="169"/>
    </w:p>
    <w:p w14:paraId="72847942">
      <w:pPr>
        <w:pStyle w:val="9"/>
        <w:rPr>
          <w:rFonts w:hint="default" w:ascii="Times New Roman" w:hAnsi="Times New Roman" w:cs="Times New Roman"/>
          <w:b w:val="0"/>
          <w:bCs/>
          <w:color w:val="auto"/>
          <w:kern w:val="2"/>
          <w:sz w:val="28"/>
          <w:szCs w:val="28"/>
          <w:lang w:val="en-US" w:eastAsia="zh-CN" w:bidi="ar-SA"/>
        </w:rPr>
      </w:pPr>
      <w:r>
        <w:rPr>
          <w:rFonts w:hint="default" w:ascii="Times New Roman" w:hAnsi="Times New Roman" w:cs="Times New Roman"/>
          <w:b w:val="0"/>
          <w:bCs/>
          <w:color w:val="auto"/>
          <w:kern w:val="2"/>
          <w:sz w:val="28"/>
          <w:szCs w:val="28"/>
          <w:lang w:val="en-US" w:eastAsia="zh-CN" w:bidi="ar-SA"/>
        </w:rPr>
        <w:t>“十四五”期间，农业部门计划实施高标准农田建设690万亩，根据自然资源部门的国土“三调”数据，全省耕地中6°以上坡耕地面积占比为85%，则高标准农田治理水土流失面积约3912平方公里。</w:t>
      </w:r>
    </w:p>
    <w:p w14:paraId="4A22BD55">
      <w:pPr>
        <w:pStyle w:val="9"/>
        <w:rPr>
          <w:rFonts w:hint="default" w:ascii="Times New Roman" w:hAnsi="Times New Roman" w:cs="Times New Roman"/>
          <w:b w:val="0"/>
          <w:bCs/>
          <w:color w:val="auto"/>
          <w:kern w:val="2"/>
          <w:sz w:val="28"/>
          <w:szCs w:val="28"/>
          <w:lang w:val="en-US" w:eastAsia="zh-CN" w:bidi="ar-SA"/>
        </w:rPr>
      </w:pPr>
      <w:r>
        <w:rPr>
          <w:rFonts w:hint="default" w:ascii="Times New Roman" w:hAnsi="Times New Roman" w:cs="Times New Roman"/>
          <w:b w:val="0"/>
          <w:bCs/>
          <w:color w:val="auto"/>
          <w:kern w:val="2"/>
          <w:sz w:val="28"/>
          <w:szCs w:val="28"/>
          <w:lang w:val="en-US" w:eastAsia="zh-CN" w:bidi="ar-SA"/>
        </w:rPr>
        <w:t>各部门具体任务分配及工程安排情况详见表5-1。各市州水利部门水土流失治理任务分解详见表5-2。</w:t>
      </w:r>
    </w:p>
    <w:p w14:paraId="4C6785C7">
      <w:pPr>
        <w:pStyle w:val="12"/>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default" w:ascii="Times New Roman" w:hAnsi="Times New Roman" w:cs="Times New Roman"/>
          <w:b/>
          <w:bCs/>
          <w:color w:val="auto"/>
          <w:sz w:val="28"/>
          <w:szCs w:val="28"/>
          <w:lang w:val="en-US" w:eastAsia="zh-CN"/>
        </w:rPr>
        <w:t>5-2</w:t>
      </w:r>
      <w:r>
        <w:rPr>
          <w:rFonts w:hint="default" w:ascii="Times New Roman" w:hAnsi="Times New Roman" w:eastAsia="宋体" w:cs="Times New Roman"/>
          <w:b/>
          <w:bCs/>
          <w:color w:val="auto"/>
          <w:sz w:val="28"/>
          <w:szCs w:val="28"/>
          <w:lang w:eastAsia="zh-CN"/>
        </w:rPr>
        <w:t xml:space="preserve">  </w:t>
      </w:r>
      <w:r>
        <w:rPr>
          <w:rFonts w:hint="default" w:ascii="Times New Roman" w:hAnsi="Times New Roman" w:cs="Times New Roman"/>
          <w:b/>
          <w:bCs/>
          <w:color w:val="auto"/>
          <w:sz w:val="28"/>
          <w:szCs w:val="28"/>
          <w:lang w:val="en-US" w:eastAsia="zh-CN"/>
        </w:rPr>
        <w:t xml:space="preserve">  </w:t>
      </w:r>
      <w:r>
        <w:rPr>
          <w:rFonts w:hint="eastAsia" w:ascii="Times New Roman" w:hAnsi="Times New Roman" w:cs="Times New Roman"/>
          <w:b/>
          <w:bCs/>
          <w:color w:val="auto"/>
          <w:sz w:val="28"/>
          <w:szCs w:val="28"/>
          <w:lang w:val="en-US" w:eastAsia="zh-CN"/>
        </w:rPr>
        <w:t xml:space="preserve"> </w:t>
      </w:r>
      <w:r>
        <w:rPr>
          <w:rFonts w:hint="default" w:ascii="Times New Roman" w:hAnsi="Times New Roman" w:cs="Times New Roman"/>
          <w:b/>
          <w:bCs/>
          <w:color w:val="auto"/>
          <w:sz w:val="28"/>
          <w:szCs w:val="28"/>
          <w:lang w:val="en-US" w:eastAsia="zh-CN"/>
        </w:rPr>
        <w:t xml:space="preserve">  各市州水利部门水土流失治理任务分解</w:t>
      </w:r>
      <w:r>
        <w:rPr>
          <w:rFonts w:hint="default" w:ascii="Times New Roman" w:hAnsi="Times New Roman" w:eastAsia="宋体" w:cs="Times New Roman"/>
          <w:b/>
          <w:bCs/>
          <w:color w:val="auto"/>
          <w:sz w:val="28"/>
          <w:szCs w:val="28"/>
          <w:lang w:val="en-US" w:eastAsia="zh-CN"/>
        </w:rPr>
        <w:t>表</w:t>
      </w:r>
    </w:p>
    <w:tbl>
      <w:tblPr>
        <w:tblStyle w:val="19"/>
        <w:tblW w:w="4931"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70"/>
        <w:gridCol w:w="1210"/>
        <w:gridCol w:w="1932"/>
        <w:gridCol w:w="1743"/>
        <w:gridCol w:w="1950"/>
      </w:tblGrid>
      <w:tr w14:paraId="149888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blHeader/>
        </w:trPr>
        <w:tc>
          <w:tcPr>
            <w:tcW w:w="933" w:type="pct"/>
            <w:vMerge w:val="restart"/>
            <w:tcBorders>
              <w:tl2br w:val="nil"/>
              <w:tr2bl w:val="nil"/>
            </w:tcBorders>
            <w:shd w:val="clear" w:color="auto" w:fill="auto"/>
            <w:vAlign w:val="center"/>
          </w:tcPr>
          <w:p w14:paraId="003A639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行政区</w:t>
            </w:r>
          </w:p>
        </w:tc>
        <w:tc>
          <w:tcPr>
            <w:tcW w:w="4066" w:type="pct"/>
            <w:gridSpan w:val="4"/>
            <w:tcBorders>
              <w:tl2br w:val="nil"/>
              <w:tr2bl w:val="nil"/>
            </w:tcBorders>
            <w:shd w:val="clear" w:color="auto" w:fill="auto"/>
            <w:vAlign w:val="center"/>
          </w:tcPr>
          <w:p w14:paraId="278EEE0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治理面积（km</w:t>
            </w:r>
            <w:r>
              <w:rPr>
                <w:rFonts w:hint="default" w:ascii="Times New Roman" w:hAnsi="Times New Roman" w:eastAsia="宋体" w:cs="Times New Roman"/>
                <w:b/>
                <w:bCs/>
                <w:i w:val="0"/>
                <w:iCs w:val="0"/>
                <w:color w:val="auto"/>
                <w:kern w:val="0"/>
                <w:sz w:val="24"/>
                <w:szCs w:val="24"/>
                <w:u w:val="none"/>
                <w:vertAlign w:val="superscript"/>
                <w:lang w:val="en-US" w:eastAsia="zh-CN" w:bidi="ar"/>
              </w:rPr>
              <w:t>2</w:t>
            </w:r>
            <w:r>
              <w:rPr>
                <w:rFonts w:hint="default" w:ascii="Times New Roman" w:hAnsi="Times New Roman" w:eastAsia="宋体" w:cs="Times New Roman"/>
                <w:b/>
                <w:bCs/>
                <w:i w:val="0"/>
                <w:iCs w:val="0"/>
                <w:color w:val="auto"/>
                <w:kern w:val="0"/>
                <w:sz w:val="24"/>
                <w:szCs w:val="24"/>
                <w:u w:val="none"/>
                <w:lang w:val="en-US" w:eastAsia="zh-CN" w:bidi="ar"/>
              </w:rPr>
              <w:t>）</w:t>
            </w:r>
          </w:p>
        </w:tc>
      </w:tr>
      <w:tr w14:paraId="1A3E27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blHeader/>
        </w:trPr>
        <w:tc>
          <w:tcPr>
            <w:tcW w:w="933" w:type="pct"/>
            <w:vMerge w:val="continue"/>
            <w:tcBorders>
              <w:tl2br w:val="nil"/>
              <w:tr2bl w:val="nil"/>
            </w:tcBorders>
            <w:shd w:val="clear" w:color="auto" w:fill="auto"/>
            <w:vAlign w:val="center"/>
          </w:tcPr>
          <w:p w14:paraId="0DA9A745">
            <w:pPr>
              <w:jc w:val="center"/>
              <w:rPr>
                <w:rFonts w:hint="default" w:ascii="Times New Roman" w:hAnsi="Times New Roman" w:eastAsia="宋体" w:cs="Times New Roman"/>
                <w:b/>
                <w:bCs/>
                <w:i w:val="0"/>
                <w:iCs w:val="0"/>
                <w:color w:val="auto"/>
                <w:sz w:val="24"/>
                <w:szCs w:val="24"/>
                <w:u w:val="none"/>
              </w:rPr>
            </w:pPr>
          </w:p>
        </w:tc>
        <w:tc>
          <w:tcPr>
            <w:tcW w:w="719" w:type="pct"/>
            <w:tcBorders>
              <w:tl2br w:val="nil"/>
              <w:tr2bl w:val="nil"/>
            </w:tcBorders>
            <w:shd w:val="clear" w:color="auto" w:fill="auto"/>
            <w:vAlign w:val="center"/>
          </w:tcPr>
          <w:p w14:paraId="0BB3E2C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小计</w:t>
            </w:r>
          </w:p>
        </w:tc>
        <w:tc>
          <w:tcPr>
            <w:tcW w:w="1149" w:type="pct"/>
            <w:tcBorders>
              <w:tl2br w:val="nil"/>
              <w:tr2bl w:val="nil"/>
            </w:tcBorders>
            <w:shd w:val="clear" w:color="auto" w:fill="auto"/>
            <w:noWrap/>
            <w:vAlign w:val="center"/>
          </w:tcPr>
          <w:p w14:paraId="419B363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国家水土保持重点工程</w:t>
            </w:r>
          </w:p>
        </w:tc>
        <w:tc>
          <w:tcPr>
            <w:tcW w:w="1036" w:type="pct"/>
            <w:tcBorders>
              <w:tl2br w:val="nil"/>
              <w:tr2bl w:val="nil"/>
            </w:tcBorders>
            <w:shd w:val="clear" w:color="auto" w:fill="auto"/>
            <w:noWrap/>
            <w:vAlign w:val="center"/>
          </w:tcPr>
          <w:p w14:paraId="0E6C522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省级水土保持重点工程</w:t>
            </w:r>
          </w:p>
        </w:tc>
        <w:tc>
          <w:tcPr>
            <w:tcW w:w="1160" w:type="pct"/>
            <w:tcBorders>
              <w:tl2br w:val="nil"/>
              <w:tr2bl w:val="nil"/>
            </w:tcBorders>
            <w:shd w:val="clear" w:color="auto" w:fill="auto"/>
            <w:noWrap/>
            <w:vAlign w:val="center"/>
          </w:tcPr>
          <w:p w14:paraId="009E917A">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坡耕地水土流失综合治理工程</w:t>
            </w:r>
          </w:p>
        </w:tc>
      </w:tr>
      <w:tr w14:paraId="7F1CB0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626887F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贵阳市</w:t>
            </w:r>
          </w:p>
        </w:tc>
        <w:tc>
          <w:tcPr>
            <w:tcW w:w="719" w:type="pct"/>
            <w:tcBorders>
              <w:tl2br w:val="nil"/>
              <w:tr2bl w:val="nil"/>
            </w:tcBorders>
            <w:shd w:val="clear" w:color="auto" w:fill="auto"/>
            <w:noWrap/>
            <w:vAlign w:val="center"/>
          </w:tcPr>
          <w:p w14:paraId="25A545D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126.50</w:t>
            </w:r>
          </w:p>
        </w:tc>
        <w:tc>
          <w:tcPr>
            <w:tcW w:w="1149" w:type="pct"/>
            <w:tcBorders>
              <w:tl2br w:val="nil"/>
              <w:tr2bl w:val="nil"/>
            </w:tcBorders>
            <w:shd w:val="clear" w:color="auto" w:fill="auto"/>
            <w:noWrap/>
            <w:vAlign w:val="center"/>
          </w:tcPr>
          <w:p w14:paraId="3A356F9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105</w:t>
            </w:r>
          </w:p>
        </w:tc>
        <w:tc>
          <w:tcPr>
            <w:tcW w:w="1036" w:type="pct"/>
            <w:tcBorders>
              <w:tl2br w:val="nil"/>
              <w:tr2bl w:val="nil"/>
            </w:tcBorders>
            <w:shd w:val="clear" w:color="auto" w:fill="auto"/>
            <w:noWrap/>
            <w:vAlign w:val="center"/>
          </w:tcPr>
          <w:p w14:paraId="660C85F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16</w:t>
            </w:r>
          </w:p>
        </w:tc>
        <w:tc>
          <w:tcPr>
            <w:tcW w:w="1160" w:type="pct"/>
            <w:tcBorders>
              <w:tl2br w:val="nil"/>
              <w:tr2bl w:val="nil"/>
            </w:tcBorders>
            <w:shd w:val="clear" w:color="auto" w:fill="auto"/>
            <w:noWrap/>
            <w:vAlign w:val="center"/>
          </w:tcPr>
          <w:p w14:paraId="288C5DC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5.5</w:t>
            </w:r>
          </w:p>
        </w:tc>
      </w:tr>
      <w:tr w14:paraId="0973C5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2DE5652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六盘水市</w:t>
            </w:r>
          </w:p>
        </w:tc>
        <w:tc>
          <w:tcPr>
            <w:tcW w:w="719" w:type="pct"/>
            <w:tcBorders>
              <w:tl2br w:val="nil"/>
              <w:tr2bl w:val="nil"/>
            </w:tcBorders>
            <w:shd w:val="clear" w:color="auto" w:fill="auto"/>
            <w:noWrap/>
            <w:vAlign w:val="center"/>
          </w:tcPr>
          <w:p w14:paraId="7BA5BC4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211.00</w:t>
            </w:r>
          </w:p>
        </w:tc>
        <w:tc>
          <w:tcPr>
            <w:tcW w:w="1149" w:type="pct"/>
            <w:tcBorders>
              <w:tl2br w:val="nil"/>
              <w:tr2bl w:val="nil"/>
            </w:tcBorders>
            <w:shd w:val="clear" w:color="auto" w:fill="auto"/>
            <w:noWrap/>
            <w:vAlign w:val="center"/>
          </w:tcPr>
          <w:p w14:paraId="1460A5A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179</w:t>
            </w:r>
          </w:p>
        </w:tc>
        <w:tc>
          <w:tcPr>
            <w:tcW w:w="1036" w:type="pct"/>
            <w:tcBorders>
              <w:tl2br w:val="nil"/>
              <w:tr2bl w:val="nil"/>
            </w:tcBorders>
            <w:shd w:val="clear" w:color="auto" w:fill="auto"/>
            <w:noWrap/>
            <w:vAlign w:val="center"/>
          </w:tcPr>
          <w:p w14:paraId="193F37B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160" w:type="pct"/>
            <w:tcBorders>
              <w:tl2br w:val="nil"/>
              <w:tr2bl w:val="nil"/>
            </w:tcBorders>
            <w:shd w:val="clear" w:color="auto" w:fill="auto"/>
            <w:noWrap/>
            <w:vAlign w:val="center"/>
          </w:tcPr>
          <w:p w14:paraId="1AD74332">
            <w:pPr>
              <w:jc w:val="center"/>
              <w:rPr>
                <w:rFonts w:hint="default" w:ascii="Times New Roman" w:hAnsi="Times New Roman" w:eastAsia="宋体" w:cs="Times New Roman"/>
                <w:i w:val="0"/>
                <w:iCs w:val="0"/>
                <w:color w:val="auto"/>
                <w:kern w:val="0"/>
                <w:sz w:val="24"/>
                <w:szCs w:val="24"/>
                <w:u w:val="none"/>
                <w:lang w:val="en-US" w:eastAsia="zh-CN" w:bidi="ar"/>
              </w:rPr>
            </w:pPr>
          </w:p>
        </w:tc>
      </w:tr>
      <w:tr w14:paraId="1DBC2D2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0C17883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遵义市</w:t>
            </w:r>
          </w:p>
        </w:tc>
        <w:tc>
          <w:tcPr>
            <w:tcW w:w="719" w:type="pct"/>
            <w:tcBorders>
              <w:tl2br w:val="nil"/>
              <w:tr2bl w:val="nil"/>
            </w:tcBorders>
            <w:shd w:val="clear" w:color="auto" w:fill="auto"/>
            <w:noWrap/>
            <w:vAlign w:val="center"/>
          </w:tcPr>
          <w:p w14:paraId="71C032B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572.50</w:t>
            </w:r>
          </w:p>
        </w:tc>
        <w:tc>
          <w:tcPr>
            <w:tcW w:w="1149" w:type="pct"/>
            <w:tcBorders>
              <w:tl2br w:val="nil"/>
              <w:tr2bl w:val="nil"/>
            </w:tcBorders>
            <w:shd w:val="clear" w:color="auto" w:fill="auto"/>
            <w:noWrap/>
            <w:vAlign w:val="center"/>
          </w:tcPr>
          <w:p w14:paraId="507891C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467</w:t>
            </w:r>
          </w:p>
        </w:tc>
        <w:tc>
          <w:tcPr>
            <w:tcW w:w="1036" w:type="pct"/>
            <w:tcBorders>
              <w:tl2br w:val="nil"/>
              <w:tr2bl w:val="nil"/>
            </w:tcBorders>
            <w:shd w:val="clear" w:color="auto" w:fill="auto"/>
            <w:noWrap/>
            <w:vAlign w:val="center"/>
          </w:tcPr>
          <w:p w14:paraId="6E05457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78</w:t>
            </w:r>
          </w:p>
        </w:tc>
        <w:tc>
          <w:tcPr>
            <w:tcW w:w="1160" w:type="pct"/>
            <w:tcBorders>
              <w:tl2br w:val="nil"/>
              <w:tr2bl w:val="nil"/>
            </w:tcBorders>
            <w:shd w:val="clear" w:color="auto" w:fill="auto"/>
            <w:noWrap/>
            <w:vAlign w:val="center"/>
          </w:tcPr>
          <w:p w14:paraId="3ED44B2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27.5</w:t>
            </w:r>
          </w:p>
        </w:tc>
      </w:tr>
      <w:tr w14:paraId="2453A06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7A81482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安顺市</w:t>
            </w:r>
          </w:p>
        </w:tc>
        <w:tc>
          <w:tcPr>
            <w:tcW w:w="719" w:type="pct"/>
            <w:tcBorders>
              <w:tl2br w:val="nil"/>
              <w:tr2bl w:val="nil"/>
            </w:tcBorders>
            <w:shd w:val="clear" w:color="auto" w:fill="auto"/>
            <w:noWrap/>
            <w:vAlign w:val="center"/>
          </w:tcPr>
          <w:p w14:paraId="2EE0B65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163.00</w:t>
            </w:r>
          </w:p>
        </w:tc>
        <w:tc>
          <w:tcPr>
            <w:tcW w:w="1149" w:type="pct"/>
            <w:tcBorders>
              <w:tl2br w:val="nil"/>
              <w:tr2bl w:val="nil"/>
            </w:tcBorders>
            <w:shd w:val="clear" w:color="auto" w:fill="auto"/>
            <w:noWrap/>
            <w:vAlign w:val="center"/>
          </w:tcPr>
          <w:p w14:paraId="051949B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131</w:t>
            </w:r>
          </w:p>
        </w:tc>
        <w:tc>
          <w:tcPr>
            <w:tcW w:w="1036" w:type="pct"/>
            <w:tcBorders>
              <w:tl2br w:val="nil"/>
              <w:tr2bl w:val="nil"/>
            </w:tcBorders>
            <w:shd w:val="clear" w:color="auto" w:fill="auto"/>
            <w:noWrap/>
            <w:vAlign w:val="center"/>
          </w:tcPr>
          <w:p w14:paraId="4BEC8DF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160" w:type="pct"/>
            <w:tcBorders>
              <w:tl2br w:val="nil"/>
              <w:tr2bl w:val="nil"/>
            </w:tcBorders>
            <w:shd w:val="clear" w:color="auto" w:fill="auto"/>
            <w:noWrap/>
            <w:vAlign w:val="center"/>
          </w:tcPr>
          <w:p w14:paraId="094E8E2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r>
      <w:tr w14:paraId="05D8FB6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1D50255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铜仁市</w:t>
            </w:r>
          </w:p>
        </w:tc>
        <w:tc>
          <w:tcPr>
            <w:tcW w:w="719" w:type="pct"/>
            <w:tcBorders>
              <w:tl2br w:val="nil"/>
              <w:tr2bl w:val="nil"/>
            </w:tcBorders>
            <w:shd w:val="clear" w:color="auto" w:fill="auto"/>
            <w:noWrap/>
            <w:vAlign w:val="center"/>
          </w:tcPr>
          <w:p w14:paraId="10EC243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411.50</w:t>
            </w:r>
          </w:p>
        </w:tc>
        <w:tc>
          <w:tcPr>
            <w:tcW w:w="1149" w:type="pct"/>
            <w:tcBorders>
              <w:tl2br w:val="nil"/>
              <w:tr2bl w:val="nil"/>
            </w:tcBorders>
            <w:shd w:val="clear" w:color="auto" w:fill="auto"/>
            <w:noWrap/>
            <w:vAlign w:val="center"/>
          </w:tcPr>
          <w:p w14:paraId="6410EC1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334</w:t>
            </w:r>
          </w:p>
        </w:tc>
        <w:tc>
          <w:tcPr>
            <w:tcW w:w="1036" w:type="pct"/>
            <w:tcBorders>
              <w:tl2br w:val="nil"/>
              <w:tr2bl w:val="nil"/>
            </w:tcBorders>
            <w:shd w:val="clear" w:color="auto" w:fill="auto"/>
            <w:noWrap/>
            <w:vAlign w:val="center"/>
          </w:tcPr>
          <w:p w14:paraId="2F8FBA4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56</w:t>
            </w:r>
          </w:p>
        </w:tc>
        <w:tc>
          <w:tcPr>
            <w:tcW w:w="1160" w:type="pct"/>
            <w:tcBorders>
              <w:tl2br w:val="nil"/>
              <w:tr2bl w:val="nil"/>
            </w:tcBorders>
            <w:shd w:val="clear" w:color="auto" w:fill="auto"/>
            <w:noWrap/>
            <w:vAlign w:val="center"/>
          </w:tcPr>
          <w:p w14:paraId="251E144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21.5</w:t>
            </w:r>
          </w:p>
        </w:tc>
      </w:tr>
      <w:tr w14:paraId="0DAF947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3B6CAF8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毕节市</w:t>
            </w:r>
          </w:p>
        </w:tc>
        <w:tc>
          <w:tcPr>
            <w:tcW w:w="719" w:type="pct"/>
            <w:tcBorders>
              <w:tl2br w:val="nil"/>
              <w:tr2bl w:val="nil"/>
            </w:tcBorders>
            <w:shd w:val="clear" w:color="auto" w:fill="auto"/>
            <w:noWrap/>
            <w:vAlign w:val="center"/>
          </w:tcPr>
          <w:p w14:paraId="0395FE2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648.50</w:t>
            </w:r>
          </w:p>
        </w:tc>
        <w:tc>
          <w:tcPr>
            <w:tcW w:w="1149" w:type="pct"/>
            <w:tcBorders>
              <w:tl2br w:val="nil"/>
              <w:tr2bl w:val="nil"/>
            </w:tcBorders>
            <w:shd w:val="clear" w:color="auto" w:fill="auto"/>
            <w:noWrap/>
            <w:vAlign w:val="center"/>
          </w:tcPr>
          <w:p w14:paraId="1FB7BE4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526</w:t>
            </w:r>
          </w:p>
        </w:tc>
        <w:tc>
          <w:tcPr>
            <w:tcW w:w="1036" w:type="pct"/>
            <w:tcBorders>
              <w:tl2br w:val="nil"/>
              <w:tr2bl w:val="nil"/>
            </w:tcBorders>
            <w:shd w:val="clear" w:color="auto" w:fill="auto"/>
            <w:noWrap/>
            <w:vAlign w:val="center"/>
          </w:tcPr>
          <w:p w14:paraId="3ED3644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88</w:t>
            </w:r>
          </w:p>
        </w:tc>
        <w:tc>
          <w:tcPr>
            <w:tcW w:w="1160" w:type="pct"/>
            <w:tcBorders>
              <w:tl2br w:val="nil"/>
              <w:tr2bl w:val="nil"/>
            </w:tcBorders>
            <w:shd w:val="clear" w:color="auto" w:fill="auto"/>
            <w:noWrap/>
            <w:vAlign w:val="center"/>
          </w:tcPr>
          <w:p w14:paraId="520758F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34.5</w:t>
            </w:r>
          </w:p>
        </w:tc>
      </w:tr>
      <w:tr w14:paraId="556A423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24D039DE">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黔西南州</w:t>
            </w:r>
          </w:p>
        </w:tc>
        <w:tc>
          <w:tcPr>
            <w:tcW w:w="719" w:type="pct"/>
            <w:tcBorders>
              <w:tl2br w:val="nil"/>
              <w:tr2bl w:val="nil"/>
            </w:tcBorders>
            <w:shd w:val="clear" w:color="auto" w:fill="auto"/>
            <w:noWrap/>
            <w:vAlign w:val="center"/>
          </w:tcPr>
          <w:p w14:paraId="41FC639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338.50</w:t>
            </w:r>
          </w:p>
        </w:tc>
        <w:tc>
          <w:tcPr>
            <w:tcW w:w="1149" w:type="pct"/>
            <w:tcBorders>
              <w:tl2br w:val="nil"/>
              <w:tr2bl w:val="nil"/>
            </w:tcBorders>
            <w:shd w:val="clear" w:color="auto" w:fill="auto"/>
            <w:noWrap/>
            <w:vAlign w:val="center"/>
          </w:tcPr>
          <w:p w14:paraId="1E2200C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279</w:t>
            </w:r>
          </w:p>
        </w:tc>
        <w:tc>
          <w:tcPr>
            <w:tcW w:w="1036" w:type="pct"/>
            <w:tcBorders>
              <w:tl2br w:val="nil"/>
              <w:tr2bl w:val="nil"/>
            </w:tcBorders>
            <w:shd w:val="clear" w:color="auto" w:fill="auto"/>
            <w:noWrap/>
            <w:vAlign w:val="center"/>
          </w:tcPr>
          <w:p w14:paraId="7C2C294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45</w:t>
            </w:r>
          </w:p>
        </w:tc>
        <w:tc>
          <w:tcPr>
            <w:tcW w:w="1160" w:type="pct"/>
            <w:tcBorders>
              <w:tl2br w:val="nil"/>
              <w:tr2bl w:val="nil"/>
            </w:tcBorders>
            <w:shd w:val="clear" w:color="auto" w:fill="auto"/>
            <w:noWrap/>
            <w:vAlign w:val="center"/>
          </w:tcPr>
          <w:p w14:paraId="11C7BC3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14.5</w:t>
            </w:r>
          </w:p>
        </w:tc>
      </w:tr>
      <w:tr w14:paraId="1902C25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2291F6A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黔东南州</w:t>
            </w:r>
          </w:p>
        </w:tc>
        <w:tc>
          <w:tcPr>
            <w:tcW w:w="719" w:type="pct"/>
            <w:tcBorders>
              <w:tl2br w:val="nil"/>
              <w:tr2bl w:val="nil"/>
            </w:tcBorders>
            <w:shd w:val="clear" w:color="auto" w:fill="auto"/>
            <w:noWrap/>
            <w:vAlign w:val="center"/>
          </w:tcPr>
          <w:p w14:paraId="4ACD031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217.50</w:t>
            </w:r>
          </w:p>
        </w:tc>
        <w:tc>
          <w:tcPr>
            <w:tcW w:w="1149" w:type="pct"/>
            <w:tcBorders>
              <w:tl2br w:val="nil"/>
              <w:tr2bl w:val="nil"/>
            </w:tcBorders>
            <w:shd w:val="clear" w:color="auto" w:fill="auto"/>
            <w:noWrap/>
            <w:vAlign w:val="center"/>
          </w:tcPr>
          <w:p w14:paraId="509D7D3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179</w:t>
            </w:r>
          </w:p>
        </w:tc>
        <w:tc>
          <w:tcPr>
            <w:tcW w:w="1036" w:type="pct"/>
            <w:tcBorders>
              <w:tl2br w:val="nil"/>
              <w:tr2bl w:val="nil"/>
            </w:tcBorders>
            <w:shd w:val="clear" w:color="auto" w:fill="auto"/>
            <w:noWrap/>
            <w:vAlign w:val="center"/>
          </w:tcPr>
          <w:p w14:paraId="7C60257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160" w:type="pct"/>
            <w:tcBorders>
              <w:tl2br w:val="nil"/>
              <w:tr2bl w:val="nil"/>
            </w:tcBorders>
            <w:shd w:val="clear" w:color="auto" w:fill="auto"/>
            <w:noWrap/>
            <w:vAlign w:val="center"/>
          </w:tcPr>
          <w:p w14:paraId="2F92FD0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6.5</w:t>
            </w:r>
          </w:p>
        </w:tc>
      </w:tr>
      <w:tr w14:paraId="30A944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7279F7A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黔南州</w:t>
            </w:r>
          </w:p>
        </w:tc>
        <w:tc>
          <w:tcPr>
            <w:tcW w:w="719" w:type="pct"/>
            <w:tcBorders>
              <w:tl2br w:val="nil"/>
              <w:tr2bl w:val="nil"/>
            </w:tcBorders>
            <w:shd w:val="clear" w:color="auto" w:fill="auto"/>
            <w:noWrap/>
            <w:vAlign w:val="center"/>
          </w:tcPr>
          <w:p w14:paraId="441D308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231.00</w:t>
            </w:r>
          </w:p>
        </w:tc>
        <w:tc>
          <w:tcPr>
            <w:tcW w:w="1149" w:type="pct"/>
            <w:tcBorders>
              <w:tl2br w:val="nil"/>
              <w:tr2bl w:val="nil"/>
            </w:tcBorders>
            <w:shd w:val="clear" w:color="auto" w:fill="auto"/>
            <w:noWrap/>
            <w:vAlign w:val="center"/>
          </w:tcPr>
          <w:p w14:paraId="57ACFC2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200</w:t>
            </w:r>
          </w:p>
        </w:tc>
        <w:tc>
          <w:tcPr>
            <w:tcW w:w="1036" w:type="pct"/>
            <w:tcBorders>
              <w:tl2br w:val="nil"/>
              <w:tr2bl w:val="nil"/>
            </w:tcBorders>
            <w:shd w:val="clear" w:color="auto" w:fill="auto"/>
            <w:noWrap/>
            <w:vAlign w:val="center"/>
          </w:tcPr>
          <w:p w14:paraId="1F18B3A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31</w:t>
            </w:r>
          </w:p>
        </w:tc>
        <w:tc>
          <w:tcPr>
            <w:tcW w:w="1160" w:type="pct"/>
            <w:tcBorders>
              <w:tl2br w:val="nil"/>
              <w:tr2bl w:val="nil"/>
            </w:tcBorders>
            <w:shd w:val="clear" w:color="auto" w:fill="auto"/>
            <w:noWrap/>
            <w:vAlign w:val="center"/>
          </w:tcPr>
          <w:p w14:paraId="48F712DC">
            <w:pPr>
              <w:jc w:val="center"/>
              <w:rPr>
                <w:rFonts w:hint="default" w:ascii="Times New Roman" w:hAnsi="Times New Roman" w:eastAsia="宋体" w:cs="Times New Roman"/>
                <w:i w:val="0"/>
                <w:iCs w:val="0"/>
                <w:color w:val="auto"/>
                <w:kern w:val="0"/>
                <w:sz w:val="24"/>
                <w:szCs w:val="24"/>
                <w:u w:val="none"/>
                <w:lang w:val="en-US" w:eastAsia="zh-CN" w:bidi="ar"/>
              </w:rPr>
            </w:pPr>
          </w:p>
        </w:tc>
      </w:tr>
      <w:tr w14:paraId="768ADAD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4D7E01CF">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合计</w:t>
            </w:r>
          </w:p>
        </w:tc>
        <w:tc>
          <w:tcPr>
            <w:tcW w:w="719" w:type="pct"/>
            <w:tcBorders>
              <w:tl2br w:val="nil"/>
              <w:tr2bl w:val="nil"/>
            </w:tcBorders>
            <w:shd w:val="clear" w:color="auto" w:fill="auto"/>
            <w:noWrap/>
            <w:vAlign w:val="center"/>
          </w:tcPr>
          <w:p w14:paraId="070FB49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2920</w:t>
            </w:r>
          </w:p>
        </w:tc>
        <w:tc>
          <w:tcPr>
            <w:tcW w:w="1149" w:type="pct"/>
            <w:tcBorders>
              <w:tl2br w:val="nil"/>
              <w:tr2bl w:val="nil"/>
            </w:tcBorders>
            <w:shd w:val="clear" w:color="auto" w:fill="auto"/>
            <w:noWrap/>
            <w:vAlign w:val="center"/>
          </w:tcPr>
          <w:p w14:paraId="6F64A8C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2400</w:t>
            </w:r>
          </w:p>
        </w:tc>
        <w:tc>
          <w:tcPr>
            <w:tcW w:w="1036" w:type="pct"/>
            <w:tcBorders>
              <w:tl2br w:val="nil"/>
              <w:tr2bl w:val="nil"/>
            </w:tcBorders>
            <w:shd w:val="clear" w:color="auto" w:fill="auto"/>
            <w:noWrap/>
            <w:vAlign w:val="center"/>
          </w:tcPr>
          <w:p w14:paraId="5251045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400</w:t>
            </w:r>
          </w:p>
        </w:tc>
        <w:tc>
          <w:tcPr>
            <w:tcW w:w="1160" w:type="pct"/>
            <w:tcBorders>
              <w:tl2br w:val="nil"/>
              <w:tr2bl w:val="nil"/>
            </w:tcBorders>
            <w:shd w:val="clear" w:color="auto" w:fill="auto"/>
            <w:noWrap/>
            <w:vAlign w:val="center"/>
          </w:tcPr>
          <w:p w14:paraId="0B6F3CD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120</w:t>
            </w:r>
          </w:p>
        </w:tc>
      </w:tr>
    </w:tbl>
    <w:p w14:paraId="3B8BFA16">
      <w:pPr>
        <w:pStyle w:val="7"/>
        <w:bidi w:val="0"/>
        <w:rPr>
          <w:rFonts w:hint="default" w:ascii="Times New Roman" w:hAnsi="Times New Roman" w:eastAsia="黑体" w:cs="Times New Roman"/>
          <w:color w:val="auto"/>
          <w:sz w:val="32"/>
          <w:szCs w:val="32"/>
          <w:lang w:val="en-US" w:eastAsia="zh-CN"/>
        </w:rPr>
      </w:pPr>
      <w:bookmarkStart w:id="170" w:name="_Toc9599"/>
      <w:bookmarkStart w:id="171" w:name="_Toc32721"/>
      <w:bookmarkStart w:id="172" w:name="_Toc9888"/>
      <w:r>
        <w:rPr>
          <w:rFonts w:hint="default" w:ascii="Times New Roman" w:hAnsi="Times New Roman" w:eastAsia="黑体" w:cs="Times New Roman"/>
          <w:color w:val="auto"/>
          <w:sz w:val="32"/>
          <w:szCs w:val="32"/>
          <w:lang w:val="en-US" w:eastAsia="zh-CN"/>
        </w:rPr>
        <w:t>六、项目安排</w:t>
      </w:r>
      <w:bookmarkEnd w:id="170"/>
      <w:bookmarkEnd w:id="171"/>
      <w:bookmarkEnd w:id="172"/>
    </w:p>
    <w:p w14:paraId="4ACBA641">
      <w:pPr>
        <w:pStyle w:val="9"/>
        <w:rPr>
          <w:rFonts w:hint="default" w:ascii="Times New Roman" w:hAnsi="Times New Roman" w:eastAsia="宋体" w:cs="Times New Roman"/>
          <w:color w:val="auto"/>
          <w:kern w:val="2"/>
          <w:sz w:val="28"/>
          <w:szCs w:val="28"/>
          <w:lang w:val="en-US" w:eastAsia="zh-CN"/>
        </w:rPr>
      </w:pPr>
      <w:bookmarkStart w:id="173" w:name="_Toc17782"/>
      <w:bookmarkStart w:id="174" w:name="_Toc26842"/>
      <w:bookmarkStart w:id="175" w:name="_Toc5301"/>
      <w:bookmarkStart w:id="176" w:name="_Toc1805"/>
      <w:bookmarkStart w:id="177" w:name="_Toc16750"/>
      <w:r>
        <w:rPr>
          <w:rFonts w:hint="default" w:ascii="Times New Roman" w:hAnsi="Times New Roman" w:eastAsia="宋体" w:cs="Times New Roman"/>
          <w:color w:val="auto"/>
          <w:kern w:val="2"/>
          <w:sz w:val="28"/>
          <w:szCs w:val="28"/>
          <w:lang w:val="en-US" w:eastAsia="zh-CN"/>
        </w:rPr>
        <w:t>根据“十四五”水利部门治理水土流失任务安排情况，结合《贵州省水利建设三年攻坚行动方案（2021—2023年）》，通过规划调研形成备选项目库（详见附件1、附件2），水利部门各年度水土保持治理工程计划安排情况，详见表5-3、5-4。</w:t>
      </w:r>
    </w:p>
    <w:p w14:paraId="3841F84F">
      <w:pPr>
        <w:pStyle w:val="9"/>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eastAsia="宋体" w:cs="Times New Roman"/>
          <w:color w:val="auto"/>
          <w:kern w:val="2"/>
          <w:sz w:val="28"/>
          <w:szCs w:val="28"/>
          <w:lang w:val="en-US" w:eastAsia="zh-CN"/>
        </w:rPr>
      </w:pPr>
      <w:r>
        <w:rPr>
          <w:rFonts w:hint="default" w:ascii="Times New Roman" w:hAnsi="Times New Roman" w:eastAsia="宋体" w:cs="Times New Roman"/>
          <w:b/>
          <w:bCs/>
          <w:color w:val="auto"/>
          <w:sz w:val="28"/>
          <w:szCs w:val="28"/>
          <w:lang w:eastAsia="zh-CN"/>
        </w:rPr>
        <w:t>表</w:t>
      </w:r>
      <w:r>
        <w:rPr>
          <w:rFonts w:hint="default" w:ascii="Times New Roman" w:hAnsi="Times New Roman" w:eastAsia="宋体" w:cs="Times New Roman"/>
          <w:b/>
          <w:bCs/>
          <w:color w:val="auto"/>
          <w:sz w:val="28"/>
          <w:szCs w:val="28"/>
          <w:lang w:val="en-US" w:eastAsia="zh-CN"/>
        </w:rPr>
        <w:t>5-3</w:t>
      </w:r>
      <w:r>
        <w:rPr>
          <w:rFonts w:hint="default" w:ascii="Times New Roman" w:hAnsi="Times New Roman" w:eastAsia="宋体" w:cs="Times New Roman"/>
          <w:b/>
          <w:bCs/>
          <w:color w:val="auto"/>
          <w:sz w:val="28"/>
          <w:szCs w:val="28"/>
          <w:lang w:eastAsia="zh-CN"/>
        </w:rPr>
        <w:t xml:space="preserve">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“十四五”</w:t>
      </w:r>
      <w:r>
        <w:rPr>
          <w:rFonts w:hint="eastAsia" w:ascii="Times New Roman" w:hAnsi="Times New Roman" w:eastAsia="宋体" w:cs="Times New Roman"/>
          <w:b/>
          <w:bCs/>
          <w:color w:val="auto"/>
          <w:sz w:val="28"/>
          <w:szCs w:val="28"/>
          <w:lang w:val="en-US" w:eastAsia="zh-CN"/>
        </w:rPr>
        <w:t>水利</w:t>
      </w:r>
      <w:r>
        <w:rPr>
          <w:rFonts w:hint="default" w:ascii="Times New Roman" w:hAnsi="Times New Roman" w:eastAsia="宋体" w:cs="Times New Roman"/>
          <w:b/>
          <w:bCs/>
          <w:color w:val="auto"/>
          <w:sz w:val="28"/>
          <w:szCs w:val="28"/>
          <w:lang w:val="en-US" w:eastAsia="zh-CN"/>
        </w:rPr>
        <w:t>部门水土保持工程进度安排表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89"/>
        <w:gridCol w:w="1406"/>
        <w:gridCol w:w="1781"/>
        <w:gridCol w:w="1725"/>
        <w:gridCol w:w="2018"/>
      </w:tblGrid>
      <w:tr w14:paraId="7F4A22B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blHeader/>
        </w:trPr>
        <w:tc>
          <w:tcPr>
            <w:tcW w:w="933" w:type="pct"/>
            <w:vMerge w:val="restart"/>
            <w:tcBorders>
              <w:tl2br w:val="nil"/>
              <w:tr2bl w:val="nil"/>
            </w:tcBorders>
            <w:shd w:val="clear" w:color="auto" w:fill="auto"/>
            <w:vAlign w:val="center"/>
          </w:tcPr>
          <w:p w14:paraId="40539DF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年度</w:t>
            </w:r>
          </w:p>
        </w:tc>
        <w:tc>
          <w:tcPr>
            <w:tcW w:w="4066" w:type="pct"/>
            <w:gridSpan w:val="4"/>
            <w:tcBorders>
              <w:tl2br w:val="nil"/>
              <w:tr2bl w:val="nil"/>
            </w:tcBorders>
            <w:shd w:val="clear" w:color="auto" w:fill="auto"/>
            <w:vAlign w:val="center"/>
          </w:tcPr>
          <w:p w14:paraId="7C179BF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水土流失治理面积（km</w:t>
            </w:r>
            <w:r>
              <w:rPr>
                <w:rFonts w:hint="default" w:ascii="Times New Roman" w:hAnsi="Times New Roman" w:eastAsia="宋体" w:cs="Times New Roman"/>
                <w:b/>
                <w:bCs/>
                <w:i w:val="0"/>
                <w:iCs w:val="0"/>
                <w:color w:val="auto"/>
                <w:kern w:val="0"/>
                <w:sz w:val="24"/>
                <w:szCs w:val="24"/>
                <w:u w:val="none"/>
                <w:vertAlign w:val="superscript"/>
                <w:lang w:val="en-US" w:eastAsia="zh-CN" w:bidi="ar"/>
              </w:rPr>
              <w:t>2</w:t>
            </w:r>
            <w:r>
              <w:rPr>
                <w:rFonts w:hint="default" w:ascii="Times New Roman" w:hAnsi="Times New Roman" w:eastAsia="宋体" w:cs="Times New Roman"/>
                <w:b/>
                <w:bCs/>
                <w:i w:val="0"/>
                <w:iCs w:val="0"/>
                <w:color w:val="auto"/>
                <w:kern w:val="0"/>
                <w:sz w:val="24"/>
                <w:szCs w:val="24"/>
                <w:u w:val="none"/>
                <w:lang w:val="en-US" w:eastAsia="zh-CN" w:bidi="ar"/>
              </w:rPr>
              <w:t>）</w:t>
            </w:r>
          </w:p>
        </w:tc>
      </w:tr>
      <w:tr w14:paraId="27684B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blHeader/>
        </w:trPr>
        <w:tc>
          <w:tcPr>
            <w:tcW w:w="933" w:type="pct"/>
            <w:vMerge w:val="continue"/>
            <w:tcBorders>
              <w:tl2br w:val="nil"/>
              <w:tr2bl w:val="nil"/>
            </w:tcBorders>
            <w:shd w:val="clear" w:color="auto" w:fill="auto"/>
            <w:vAlign w:val="center"/>
          </w:tcPr>
          <w:p w14:paraId="012A16DD">
            <w:pPr>
              <w:jc w:val="center"/>
              <w:rPr>
                <w:rFonts w:hint="default" w:ascii="Times New Roman" w:hAnsi="Times New Roman" w:eastAsia="宋体" w:cs="Times New Roman"/>
                <w:b/>
                <w:bCs/>
                <w:i w:val="0"/>
                <w:iCs w:val="0"/>
                <w:color w:val="auto"/>
                <w:sz w:val="24"/>
                <w:szCs w:val="24"/>
                <w:u w:val="none"/>
              </w:rPr>
            </w:pPr>
          </w:p>
        </w:tc>
        <w:tc>
          <w:tcPr>
            <w:tcW w:w="825" w:type="pct"/>
            <w:tcBorders>
              <w:tl2br w:val="nil"/>
              <w:tr2bl w:val="nil"/>
            </w:tcBorders>
            <w:shd w:val="clear" w:color="auto" w:fill="auto"/>
            <w:vAlign w:val="center"/>
          </w:tcPr>
          <w:p w14:paraId="06B12EA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小计</w:t>
            </w:r>
          </w:p>
        </w:tc>
        <w:tc>
          <w:tcPr>
            <w:tcW w:w="1045" w:type="pct"/>
            <w:tcBorders>
              <w:tl2br w:val="nil"/>
              <w:tr2bl w:val="nil"/>
            </w:tcBorders>
            <w:shd w:val="clear" w:color="auto" w:fill="auto"/>
            <w:vAlign w:val="center"/>
          </w:tcPr>
          <w:p w14:paraId="4F558EE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国家水土保持重点工程</w:t>
            </w:r>
          </w:p>
        </w:tc>
        <w:tc>
          <w:tcPr>
            <w:tcW w:w="1012" w:type="pct"/>
            <w:tcBorders>
              <w:tl2br w:val="nil"/>
              <w:tr2bl w:val="nil"/>
            </w:tcBorders>
            <w:shd w:val="clear" w:color="auto" w:fill="auto"/>
            <w:vAlign w:val="center"/>
          </w:tcPr>
          <w:p w14:paraId="4AD856E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省级水土保持重点工程</w:t>
            </w:r>
          </w:p>
        </w:tc>
        <w:tc>
          <w:tcPr>
            <w:tcW w:w="1183" w:type="pct"/>
            <w:tcBorders>
              <w:tl2br w:val="nil"/>
              <w:tr2bl w:val="nil"/>
            </w:tcBorders>
            <w:shd w:val="clear" w:color="auto" w:fill="auto"/>
            <w:vAlign w:val="center"/>
          </w:tcPr>
          <w:p w14:paraId="2B46001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坡耕地水土流失综合治理工程</w:t>
            </w:r>
          </w:p>
        </w:tc>
      </w:tr>
      <w:tr w14:paraId="4137458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3D75F60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2021年</w:t>
            </w:r>
          </w:p>
        </w:tc>
        <w:tc>
          <w:tcPr>
            <w:tcW w:w="825" w:type="pct"/>
            <w:tcBorders>
              <w:tl2br w:val="nil"/>
              <w:tr2bl w:val="nil"/>
            </w:tcBorders>
            <w:shd w:val="clear" w:color="auto" w:fill="auto"/>
            <w:vAlign w:val="center"/>
          </w:tcPr>
          <w:p w14:paraId="668AE6A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470</w:t>
            </w:r>
          </w:p>
        </w:tc>
        <w:tc>
          <w:tcPr>
            <w:tcW w:w="1045" w:type="pct"/>
            <w:tcBorders>
              <w:tl2br w:val="nil"/>
              <w:tr2bl w:val="nil"/>
            </w:tcBorders>
            <w:shd w:val="clear" w:color="auto" w:fill="auto"/>
            <w:vAlign w:val="center"/>
          </w:tcPr>
          <w:p w14:paraId="05A11AD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470</w:t>
            </w:r>
          </w:p>
        </w:tc>
        <w:tc>
          <w:tcPr>
            <w:tcW w:w="1012" w:type="pct"/>
            <w:tcBorders>
              <w:tl2br w:val="nil"/>
              <w:tr2bl w:val="nil"/>
            </w:tcBorders>
            <w:shd w:val="clear" w:color="auto" w:fill="auto"/>
            <w:vAlign w:val="center"/>
          </w:tcPr>
          <w:p w14:paraId="66A15855">
            <w:pPr>
              <w:jc w:val="center"/>
              <w:rPr>
                <w:rFonts w:hint="default" w:ascii="Times New Roman" w:hAnsi="Times New Roman" w:eastAsia="宋体" w:cs="Times New Roman"/>
                <w:i w:val="0"/>
                <w:iCs w:val="0"/>
                <w:color w:val="auto"/>
                <w:sz w:val="24"/>
                <w:szCs w:val="24"/>
                <w:u w:val="none"/>
              </w:rPr>
            </w:pPr>
          </w:p>
        </w:tc>
        <w:tc>
          <w:tcPr>
            <w:tcW w:w="1183" w:type="pct"/>
            <w:tcBorders>
              <w:tl2br w:val="nil"/>
              <w:tr2bl w:val="nil"/>
            </w:tcBorders>
            <w:shd w:val="clear" w:color="auto" w:fill="auto"/>
            <w:vAlign w:val="center"/>
          </w:tcPr>
          <w:p w14:paraId="424C7061">
            <w:pPr>
              <w:jc w:val="center"/>
              <w:rPr>
                <w:rFonts w:hint="default" w:ascii="Times New Roman" w:hAnsi="Times New Roman" w:eastAsia="宋体" w:cs="Times New Roman"/>
                <w:i w:val="0"/>
                <w:iCs w:val="0"/>
                <w:color w:val="auto"/>
                <w:sz w:val="24"/>
                <w:szCs w:val="24"/>
                <w:u w:val="none"/>
              </w:rPr>
            </w:pPr>
          </w:p>
        </w:tc>
      </w:tr>
      <w:tr w14:paraId="1DF6F82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513EEDB2">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2022年</w:t>
            </w:r>
          </w:p>
        </w:tc>
        <w:tc>
          <w:tcPr>
            <w:tcW w:w="825" w:type="pct"/>
            <w:tcBorders>
              <w:tl2br w:val="nil"/>
              <w:tr2bl w:val="nil"/>
            </w:tcBorders>
            <w:shd w:val="clear" w:color="auto" w:fill="auto"/>
            <w:vAlign w:val="center"/>
          </w:tcPr>
          <w:p w14:paraId="00B0622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525</w:t>
            </w:r>
          </w:p>
        </w:tc>
        <w:tc>
          <w:tcPr>
            <w:tcW w:w="1045" w:type="pct"/>
            <w:tcBorders>
              <w:tl2br w:val="nil"/>
              <w:tr2bl w:val="nil"/>
            </w:tcBorders>
            <w:shd w:val="clear" w:color="auto" w:fill="auto"/>
            <w:vAlign w:val="center"/>
          </w:tcPr>
          <w:p w14:paraId="7E86265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525</w:t>
            </w:r>
          </w:p>
        </w:tc>
        <w:tc>
          <w:tcPr>
            <w:tcW w:w="1012" w:type="pct"/>
            <w:tcBorders>
              <w:tl2br w:val="nil"/>
              <w:tr2bl w:val="nil"/>
            </w:tcBorders>
            <w:shd w:val="clear" w:color="auto" w:fill="auto"/>
            <w:vAlign w:val="center"/>
          </w:tcPr>
          <w:p w14:paraId="3A2FFBB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c>
          <w:tcPr>
            <w:tcW w:w="1183" w:type="pct"/>
            <w:tcBorders>
              <w:tl2br w:val="nil"/>
              <w:tr2bl w:val="nil"/>
            </w:tcBorders>
            <w:shd w:val="clear" w:color="auto" w:fill="auto"/>
            <w:vAlign w:val="center"/>
          </w:tcPr>
          <w:p w14:paraId="6A8E7E30">
            <w:pPr>
              <w:jc w:val="center"/>
              <w:rPr>
                <w:rFonts w:hint="default" w:ascii="Times New Roman" w:hAnsi="Times New Roman" w:eastAsia="宋体" w:cs="Times New Roman"/>
                <w:i w:val="0"/>
                <w:iCs w:val="0"/>
                <w:color w:val="auto"/>
                <w:sz w:val="24"/>
                <w:szCs w:val="24"/>
                <w:u w:val="none"/>
              </w:rPr>
            </w:pPr>
          </w:p>
        </w:tc>
      </w:tr>
      <w:tr w14:paraId="45EF1FB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191E366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2023年</w:t>
            </w:r>
          </w:p>
        </w:tc>
        <w:tc>
          <w:tcPr>
            <w:tcW w:w="825" w:type="pct"/>
            <w:tcBorders>
              <w:tl2br w:val="nil"/>
              <w:tr2bl w:val="nil"/>
            </w:tcBorders>
            <w:shd w:val="clear" w:color="auto" w:fill="auto"/>
            <w:vAlign w:val="center"/>
          </w:tcPr>
          <w:p w14:paraId="19EBA2F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699</w:t>
            </w:r>
          </w:p>
        </w:tc>
        <w:tc>
          <w:tcPr>
            <w:tcW w:w="1045" w:type="pct"/>
            <w:tcBorders>
              <w:tl2br w:val="nil"/>
              <w:tr2bl w:val="nil"/>
            </w:tcBorders>
            <w:shd w:val="clear" w:color="auto" w:fill="auto"/>
            <w:vAlign w:val="center"/>
          </w:tcPr>
          <w:p w14:paraId="79BDB31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509</w:t>
            </w:r>
          </w:p>
        </w:tc>
        <w:tc>
          <w:tcPr>
            <w:tcW w:w="1012" w:type="pct"/>
            <w:tcBorders>
              <w:tl2br w:val="nil"/>
              <w:tr2bl w:val="nil"/>
            </w:tcBorders>
            <w:shd w:val="clear" w:color="auto" w:fill="auto"/>
            <w:vAlign w:val="center"/>
          </w:tcPr>
          <w:p w14:paraId="4922CC3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150</w:t>
            </w:r>
          </w:p>
        </w:tc>
        <w:tc>
          <w:tcPr>
            <w:tcW w:w="1183" w:type="pct"/>
            <w:tcBorders>
              <w:tl2br w:val="nil"/>
              <w:tr2bl w:val="nil"/>
            </w:tcBorders>
            <w:shd w:val="clear" w:color="auto" w:fill="auto"/>
            <w:vAlign w:val="center"/>
          </w:tcPr>
          <w:p w14:paraId="507245B3">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w:t>
            </w:r>
          </w:p>
        </w:tc>
      </w:tr>
      <w:tr w14:paraId="669642D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485985B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2024年</w:t>
            </w:r>
          </w:p>
        </w:tc>
        <w:tc>
          <w:tcPr>
            <w:tcW w:w="825" w:type="pct"/>
            <w:tcBorders>
              <w:tl2br w:val="nil"/>
              <w:tr2bl w:val="nil"/>
            </w:tcBorders>
            <w:shd w:val="clear" w:color="auto" w:fill="auto"/>
            <w:vAlign w:val="center"/>
          </w:tcPr>
          <w:p w14:paraId="5F642210">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638</w:t>
            </w:r>
          </w:p>
        </w:tc>
        <w:tc>
          <w:tcPr>
            <w:tcW w:w="1045" w:type="pct"/>
            <w:tcBorders>
              <w:tl2br w:val="nil"/>
              <w:tr2bl w:val="nil"/>
            </w:tcBorders>
            <w:shd w:val="clear" w:color="auto" w:fill="auto"/>
            <w:vAlign w:val="center"/>
          </w:tcPr>
          <w:p w14:paraId="704E16CB">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448</w:t>
            </w:r>
          </w:p>
        </w:tc>
        <w:tc>
          <w:tcPr>
            <w:tcW w:w="1012" w:type="pct"/>
            <w:tcBorders>
              <w:tl2br w:val="nil"/>
              <w:tr2bl w:val="nil"/>
            </w:tcBorders>
            <w:shd w:val="clear" w:color="auto" w:fill="auto"/>
            <w:vAlign w:val="center"/>
          </w:tcPr>
          <w:p w14:paraId="7A05498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150</w:t>
            </w:r>
          </w:p>
        </w:tc>
        <w:tc>
          <w:tcPr>
            <w:tcW w:w="1183" w:type="pct"/>
            <w:tcBorders>
              <w:tl2br w:val="nil"/>
              <w:tr2bl w:val="nil"/>
            </w:tcBorders>
            <w:shd w:val="clear" w:color="auto" w:fill="auto"/>
            <w:vAlign w:val="center"/>
          </w:tcPr>
          <w:p w14:paraId="56F512C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w:t>
            </w:r>
          </w:p>
        </w:tc>
      </w:tr>
      <w:tr w14:paraId="14CEE4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0A20119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2025年</w:t>
            </w:r>
          </w:p>
        </w:tc>
        <w:tc>
          <w:tcPr>
            <w:tcW w:w="825" w:type="pct"/>
            <w:tcBorders>
              <w:tl2br w:val="nil"/>
              <w:tr2bl w:val="nil"/>
            </w:tcBorders>
            <w:shd w:val="clear" w:color="auto" w:fill="auto"/>
            <w:vAlign w:val="center"/>
          </w:tcPr>
          <w:p w14:paraId="106C512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588</w:t>
            </w:r>
          </w:p>
        </w:tc>
        <w:tc>
          <w:tcPr>
            <w:tcW w:w="1045" w:type="pct"/>
            <w:tcBorders>
              <w:tl2br w:val="nil"/>
              <w:tr2bl w:val="nil"/>
            </w:tcBorders>
            <w:shd w:val="clear" w:color="auto" w:fill="auto"/>
            <w:vAlign w:val="center"/>
          </w:tcPr>
          <w:p w14:paraId="71E101BD">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448</w:t>
            </w:r>
          </w:p>
        </w:tc>
        <w:tc>
          <w:tcPr>
            <w:tcW w:w="1012" w:type="pct"/>
            <w:tcBorders>
              <w:tl2br w:val="nil"/>
              <w:tr2bl w:val="nil"/>
            </w:tcBorders>
            <w:shd w:val="clear" w:color="auto" w:fill="auto"/>
            <w:vAlign w:val="center"/>
          </w:tcPr>
          <w:p w14:paraId="18AC1F1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183" w:type="pct"/>
            <w:tcBorders>
              <w:tl2br w:val="nil"/>
              <w:tr2bl w:val="nil"/>
            </w:tcBorders>
            <w:shd w:val="clear" w:color="auto" w:fill="auto"/>
            <w:vAlign w:val="center"/>
          </w:tcPr>
          <w:p w14:paraId="5F9733F4">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w:t>
            </w:r>
          </w:p>
        </w:tc>
      </w:tr>
      <w:tr w14:paraId="0E705C3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9" w:hRule="atLeast"/>
        </w:trPr>
        <w:tc>
          <w:tcPr>
            <w:tcW w:w="933" w:type="pct"/>
            <w:tcBorders>
              <w:tl2br w:val="nil"/>
              <w:tr2bl w:val="nil"/>
            </w:tcBorders>
            <w:shd w:val="clear" w:color="auto" w:fill="auto"/>
            <w:vAlign w:val="center"/>
          </w:tcPr>
          <w:p w14:paraId="269AA5C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合计</w:t>
            </w:r>
          </w:p>
        </w:tc>
        <w:tc>
          <w:tcPr>
            <w:tcW w:w="825" w:type="pct"/>
            <w:tcBorders>
              <w:tl2br w:val="nil"/>
              <w:tr2bl w:val="nil"/>
            </w:tcBorders>
            <w:shd w:val="clear" w:color="auto" w:fill="auto"/>
            <w:vAlign w:val="center"/>
          </w:tcPr>
          <w:p w14:paraId="07A3545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2920</w:t>
            </w:r>
          </w:p>
        </w:tc>
        <w:tc>
          <w:tcPr>
            <w:tcW w:w="1045" w:type="pct"/>
            <w:tcBorders>
              <w:tl2br w:val="nil"/>
              <w:tr2bl w:val="nil"/>
            </w:tcBorders>
            <w:shd w:val="clear" w:color="auto" w:fill="auto"/>
            <w:vAlign w:val="center"/>
          </w:tcPr>
          <w:p w14:paraId="57019BE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2400</w:t>
            </w:r>
          </w:p>
        </w:tc>
        <w:tc>
          <w:tcPr>
            <w:tcW w:w="1012" w:type="pct"/>
            <w:tcBorders>
              <w:tl2br w:val="nil"/>
              <w:tr2bl w:val="nil"/>
            </w:tcBorders>
            <w:shd w:val="clear" w:color="auto" w:fill="auto"/>
            <w:vAlign w:val="center"/>
          </w:tcPr>
          <w:p w14:paraId="5FA0C62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400</w:t>
            </w:r>
          </w:p>
        </w:tc>
        <w:tc>
          <w:tcPr>
            <w:tcW w:w="1183" w:type="pct"/>
            <w:tcBorders>
              <w:tl2br w:val="nil"/>
              <w:tr2bl w:val="nil"/>
            </w:tcBorders>
            <w:shd w:val="clear" w:color="auto" w:fill="auto"/>
            <w:vAlign w:val="center"/>
          </w:tcPr>
          <w:p w14:paraId="45868BD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120</w:t>
            </w:r>
          </w:p>
        </w:tc>
      </w:tr>
    </w:tbl>
    <w:p w14:paraId="0CE7EAD4">
      <w:pPr>
        <w:pStyle w:val="9"/>
        <w:keepNext w:val="0"/>
        <w:keepLines w:val="0"/>
        <w:pageBreakBefore w:val="0"/>
        <w:widowControl w:val="0"/>
        <w:kinsoku/>
        <w:wordWrap/>
        <w:overflowPunct/>
        <w:topLinePunct w:val="0"/>
        <w:autoSpaceDE/>
        <w:autoSpaceDN/>
        <w:bidi w:val="0"/>
        <w:adjustRightInd w:val="0"/>
        <w:snapToGrid w:val="0"/>
        <w:spacing w:before="157" w:beforeLines="50"/>
        <w:ind w:left="0" w:leftChars="0" w:firstLine="0" w:firstLineChars="0"/>
        <w:jc w:val="both"/>
        <w:textAlignment w:val="auto"/>
        <w:rPr>
          <w:rFonts w:hint="default" w:ascii="Times New Roman" w:hAnsi="Times New Roman" w:cs="Times New Roman"/>
          <w:b/>
          <w:bCs/>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default" w:ascii="Times New Roman" w:hAnsi="Times New Roman" w:eastAsia="宋体" w:cs="Times New Roman"/>
          <w:b/>
          <w:bCs/>
          <w:color w:val="auto"/>
          <w:sz w:val="28"/>
          <w:szCs w:val="28"/>
          <w:lang w:val="en-US" w:eastAsia="zh-CN"/>
        </w:rPr>
        <w:t>5-4</w:t>
      </w:r>
      <w:r>
        <w:rPr>
          <w:rFonts w:hint="default" w:ascii="Times New Roman" w:hAnsi="Times New Roman" w:eastAsia="宋体" w:cs="Times New Roman"/>
          <w:b/>
          <w:bCs/>
          <w:color w:val="auto"/>
          <w:sz w:val="28"/>
          <w:szCs w:val="28"/>
          <w:lang w:eastAsia="zh-CN"/>
        </w:rPr>
        <w:t xml:space="preserve">  </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“十四五”</w:t>
      </w:r>
      <w:r>
        <w:rPr>
          <w:rFonts w:hint="default" w:ascii="Times New Roman" w:hAnsi="Times New Roman" w:eastAsia="宋体" w:cs="Times New Roman"/>
          <w:b/>
          <w:bCs/>
          <w:color w:val="auto"/>
          <w:sz w:val="28"/>
          <w:szCs w:val="28"/>
          <w:lang w:val="en-US" w:eastAsia="zh-CN"/>
        </w:rPr>
        <w:t>水利部门水土保持工程项目</w:t>
      </w:r>
      <w:r>
        <w:rPr>
          <w:rFonts w:hint="default" w:ascii="Times New Roman" w:hAnsi="Times New Roman" w:cs="Times New Roman"/>
          <w:b/>
          <w:bCs/>
          <w:color w:val="auto"/>
          <w:sz w:val="28"/>
          <w:szCs w:val="28"/>
          <w:lang w:val="en-US" w:eastAsia="zh-CN"/>
        </w:rPr>
        <w:t>表</w:t>
      </w:r>
    </w:p>
    <w:tbl>
      <w:tblPr>
        <w:tblStyle w:val="19"/>
        <w:tblW w:w="5525" w:type="pct"/>
        <w:tblInd w:w="-454"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941"/>
        <w:gridCol w:w="912"/>
        <w:gridCol w:w="1189"/>
        <w:gridCol w:w="850"/>
        <w:gridCol w:w="1356"/>
        <w:gridCol w:w="874"/>
        <w:gridCol w:w="1127"/>
        <w:gridCol w:w="861"/>
        <w:gridCol w:w="1307"/>
      </w:tblGrid>
      <w:tr w14:paraId="46B9B3E8">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blHeader/>
        </w:trPr>
        <w:tc>
          <w:tcPr>
            <w:tcW w:w="500" w:type="pct"/>
            <w:vMerge w:val="restart"/>
            <w:tcBorders>
              <w:tl2br w:val="nil"/>
              <w:tr2bl w:val="nil"/>
            </w:tcBorders>
            <w:shd w:val="clear" w:color="auto" w:fill="auto"/>
            <w:vAlign w:val="center"/>
          </w:tcPr>
          <w:p w14:paraId="06B5E5F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年度</w:t>
            </w:r>
          </w:p>
        </w:tc>
        <w:tc>
          <w:tcPr>
            <w:tcW w:w="4499" w:type="pct"/>
            <w:gridSpan w:val="8"/>
            <w:tcBorders>
              <w:tl2br w:val="nil"/>
              <w:tr2bl w:val="nil"/>
            </w:tcBorders>
            <w:shd w:val="clear" w:color="auto" w:fill="auto"/>
            <w:noWrap/>
            <w:vAlign w:val="center"/>
          </w:tcPr>
          <w:p w14:paraId="0448FE7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水土保持建设项目</w:t>
            </w:r>
          </w:p>
        </w:tc>
      </w:tr>
      <w:tr w14:paraId="4C4AAEB3">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blHeader/>
        </w:trPr>
        <w:tc>
          <w:tcPr>
            <w:tcW w:w="500" w:type="pct"/>
            <w:vMerge w:val="continue"/>
            <w:tcBorders>
              <w:tl2br w:val="nil"/>
              <w:tr2bl w:val="nil"/>
            </w:tcBorders>
            <w:shd w:val="clear" w:color="auto" w:fill="auto"/>
            <w:vAlign w:val="center"/>
          </w:tcPr>
          <w:p w14:paraId="306B0119">
            <w:pPr>
              <w:jc w:val="center"/>
              <w:rPr>
                <w:rFonts w:hint="default" w:ascii="Times New Roman" w:hAnsi="Times New Roman" w:eastAsia="宋体" w:cs="Times New Roman"/>
                <w:b/>
                <w:bCs/>
                <w:i w:val="0"/>
                <w:iCs w:val="0"/>
                <w:color w:val="auto"/>
                <w:sz w:val="21"/>
                <w:szCs w:val="21"/>
                <w:u w:val="none"/>
              </w:rPr>
            </w:pPr>
          </w:p>
        </w:tc>
        <w:tc>
          <w:tcPr>
            <w:tcW w:w="2286" w:type="pct"/>
            <w:gridSpan w:val="4"/>
            <w:tcBorders>
              <w:tl2br w:val="nil"/>
              <w:tr2bl w:val="nil"/>
            </w:tcBorders>
            <w:shd w:val="clear" w:color="auto" w:fill="auto"/>
            <w:vAlign w:val="center"/>
          </w:tcPr>
          <w:p w14:paraId="6409228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水土保持重点工程</w:t>
            </w:r>
          </w:p>
        </w:tc>
        <w:tc>
          <w:tcPr>
            <w:tcW w:w="2212" w:type="pct"/>
            <w:gridSpan w:val="4"/>
            <w:tcBorders>
              <w:tl2br w:val="nil"/>
              <w:tr2bl w:val="nil"/>
            </w:tcBorders>
            <w:shd w:val="clear" w:color="auto" w:fill="auto"/>
            <w:vAlign w:val="center"/>
          </w:tcPr>
          <w:p w14:paraId="02DB4CF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坡耕地水土流失综合治理工程</w:t>
            </w:r>
          </w:p>
        </w:tc>
      </w:tr>
      <w:tr w14:paraId="31BB3046">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blHeader/>
        </w:trPr>
        <w:tc>
          <w:tcPr>
            <w:tcW w:w="500" w:type="pct"/>
            <w:vMerge w:val="continue"/>
            <w:tcBorders>
              <w:tl2br w:val="nil"/>
              <w:tr2bl w:val="nil"/>
            </w:tcBorders>
            <w:shd w:val="clear" w:color="auto" w:fill="auto"/>
            <w:vAlign w:val="center"/>
          </w:tcPr>
          <w:p w14:paraId="39E4BA34">
            <w:pPr>
              <w:jc w:val="center"/>
              <w:rPr>
                <w:rFonts w:hint="default" w:ascii="Times New Roman" w:hAnsi="Times New Roman" w:eastAsia="宋体" w:cs="Times New Roman"/>
                <w:b/>
                <w:bCs/>
                <w:i w:val="0"/>
                <w:iCs w:val="0"/>
                <w:color w:val="auto"/>
                <w:sz w:val="21"/>
                <w:szCs w:val="21"/>
                <w:u w:val="none"/>
              </w:rPr>
            </w:pPr>
          </w:p>
        </w:tc>
        <w:tc>
          <w:tcPr>
            <w:tcW w:w="1115" w:type="pct"/>
            <w:gridSpan w:val="2"/>
            <w:tcBorders>
              <w:tl2br w:val="nil"/>
              <w:tr2bl w:val="nil"/>
            </w:tcBorders>
            <w:shd w:val="clear" w:color="auto" w:fill="auto"/>
            <w:vAlign w:val="center"/>
          </w:tcPr>
          <w:p w14:paraId="2150AA4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计划实施项目</w:t>
            </w:r>
          </w:p>
        </w:tc>
        <w:tc>
          <w:tcPr>
            <w:tcW w:w="1171" w:type="pct"/>
            <w:gridSpan w:val="2"/>
            <w:tcBorders>
              <w:tl2br w:val="nil"/>
              <w:tr2bl w:val="nil"/>
            </w:tcBorders>
            <w:shd w:val="clear" w:color="auto" w:fill="auto"/>
            <w:vAlign w:val="center"/>
          </w:tcPr>
          <w:p w14:paraId="44595E6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备选项目库情况</w:t>
            </w:r>
          </w:p>
        </w:tc>
        <w:tc>
          <w:tcPr>
            <w:tcW w:w="1062" w:type="pct"/>
            <w:gridSpan w:val="2"/>
            <w:tcBorders>
              <w:tl2br w:val="nil"/>
              <w:tr2bl w:val="nil"/>
            </w:tcBorders>
            <w:shd w:val="clear" w:color="auto" w:fill="auto"/>
            <w:vAlign w:val="center"/>
          </w:tcPr>
          <w:p w14:paraId="56BA49E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计划实施项目</w:t>
            </w:r>
          </w:p>
        </w:tc>
        <w:tc>
          <w:tcPr>
            <w:tcW w:w="1150" w:type="pct"/>
            <w:gridSpan w:val="2"/>
            <w:tcBorders>
              <w:tl2br w:val="nil"/>
              <w:tr2bl w:val="nil"/>
            </w:tcBorders>
            <w:shd w:val="clear" w:color="auto" w:fill="auto"/>
            <w:vAlign w:val="center"/>
          </w:tcPr>
          <w:p w14:paraId="0167307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备选项目库情况</w:t>
            </w:r>
          </w:p>
        </w:tc>
      </w:tr>
      <w:tr w14:paraId="6F188697">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blHeader/>
        </w:trPr>
        <w:tc>
          <w:tcPr>
            <w:tcW w:w="500" w:type="pct"/>
            <w:vMerge w:val="continue"/>
            <w:tcBorders>
              <w:tl2br w:val="nil"/>
              <w:tr2bl w:val="nil"/>
            </w:tcBorders>
            <w:shd w:val="clear" w:color="auto" w:fill="auto"/>
            <w:vAlign w:val="center"/>
          </w:tcPr>
          <w:p w14:paraId="037562F5">
            <w:pPr>
              <w:jc w:val="center"/>
              <w:rPr>
                <w:rFonts w:hint="default" w:ascii="Times New Roman" w:hAnsi="Times New Roman" w:eastAsia="宋体" w:cs="Times New Roman"/>
                <w:b/>
                <w:bCs/>
                <w:i w:val="0"/>
                <w:iCs w:val="0"/>
                <w:color w:val="auto"/>
                <w:sz w:val="21"/>
                <w:szCs w:val="21"/>
                <w:u w:val="none"/>
              </w:rPr>
            </w:pPr>
          </w:p>
        </w:tc>
        <w:tc>
          <w:tcPr>
            <w:tcW w:w="484" w:type="pct"/>
            <w:tcBorders>
              <w:tl2br w:val="nil"/>
              <w:tr2bl w:val="nil"/>
            </w:tcBorders>
            <w:shd w:val="clear" w:color="auto" w:fill="auto"/>
            <w:vAlign w:val="center"/>
          </w:tcPr>
          <w:p w14:paraId="0CC4456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（个）</w:t>
            </w:r>
          </w:p>
        </w:tc>
        <w:tc>
          <w:tcPr>
            <w:tcW w:w="631" w:type="pct"/>
            <w:tcBorders>
              <w:tl2br w:val="nil"/>
              <w:tr2bl w:val="nil"/>
            </w:tcBorders>
            <w:shd w:val="clear" w:color="auto" w:fill="auto"/>
            <w:vAlign w:val="center"/>
          </w:tcPr>
          <w:p w14:paraId="3C71901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治理</w:t>
            </w:r>
            <w:r>
              <w:rPr>
                <w:rFonts w:hint="eastAsia" w:ascii="Times New Roman" w:hAnsi="Times New Roman" w:eastAsia="宋体" w:cs="Times New Roman"/>
                <w:b/>
                <w:bCs/>
                <w:i w:val="0"/>
                <w:iCs w:val="0"/>
                <w:color w:val="auto"/>
                <w:kern w:val="0"/>
                <w:sz w:val="21"/>
                <w:szCs w:val="21"/>
                <w:u w:val="none"/>
                <w:lang w:val="en-US" w:eastAsia="zh-CN" w:bidi="ar"/>
              </w:rPr>
              <w:t>面积</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（km</w:t>
            </w:r>
            <w:r>
              <w:rPr>
                <w:rFonts w:hint="default" w:ascii="Times New Roman" w:hAnsi="Times New Roman" w:eastAsia="宋体" w:cs="Times New Roman"/>
                <w:b/>
                <w:bCs/>
                <w:i w:val="0"/>
                <w:iCs w:val="0"/>
                <w:color w:val="auto"/>
                <w:kern w:val="0"/>
                <w:sz w:val="21"/>
                <w:szCs w:val="21"/>
                <w:u w:val="none"/>
                <w:vertAlign w:val="superscript"/>
                <w:lang w:val="en-US" w:eastAsia="zh-CN" w:bidi="ar"/>
              </w:rPr>
              <w:t>2</w:t>
            </w:r>
            <w:r>
              <w:rPr>
                <w:rFonts w:hint="default" w:ascii="Times New Roman" w:hAnsi="Times New Roman" w:eastAsia="宋体" w:cs="Times New Roman"/>
                <w:b/>
                <w:bCs/>
                <w:i w:val="0"/>
                <w:iCs w:val="0"/>
                <w:color w:val="auto"/>
                <w:kern w:val="0"/>
                <w:sz w:val="21"/>
                <w:szCs w:val="21"/>
                <w:u w:val="none"/>
                <w:lang w:val="en-US" w:eastAsia="zh-CN" w:bidi="ar"/>
              </w:rPr>
              <w:t>）</w:t>
            </w:r>
          </w:p>
        </w:tc>
        <w:tc>
          <w:tcPr>
            <w:tcW w:w="451" w:type="pct"/>
            <w:tcBorders>
              <w:tl2br w:val="nil"/>
              <w:tr2bl w:val="nil"/>
            </w:tcBorders>
            <w:shd w:val="clear" w:color="auto" w:fill="auto"/>
            <w:vAlign w:val="center"/>
          </w:tcPr>
          <w:p w14:paraId="2F2FD12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（个）</w:t>
            </w:r>
          </w:p>
        </w:tc>
        <w:tc>
          <w:tcPr>
            <w:tcW w:w="719" w:type="pct"/>
            <w:tcBorders>
              <w:tl2br w:val="nil"/>
              <w:tr2bl w:val="nil"/>
            </w:tcBorders>
            <w:shd w:val="clear" w:color="auto" w:fill="auto"/>
            <w:vAlign w:val="center"/>
          </w:tcPr>
          <w:p w14:paraId="541B6ED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可治理</w:t>
            </w:r>
            <w:r>
              <w:rPr>
                <w:rFonts w:hint="eastAsia" w:ascii="Times New Roman" w:hAnsi="Times New Roman" w:eastAsia="宋体" w:cs="Times New Roman"/>
                <w:b/>
                <w:bCs/>
                <w:i w:val="0"/>
                <w:iCs w:val="0"/>
                <w:color w:val="auto"/>
                <w:kern w:val="0"/>
                <w:sz w:val="21"/>
                <w:szCs w:val="21"/>
                <w:u w:val="none"/>
                <w:lang w:val="en-US" w:eastAsia="zh-CN" w:bidi="ar"/>
              </w:rPr>
              <w:t>面积</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（km</w:t>
            </w:r>
            <w:r>
              <w:rPr>
                <w:rFonts w:hint="default" w:ascii="Times New Roman" w:hAnsi="Times New Roman" w:eastAsia="宋体" w:cs="Times New Roman"/>
                <w:b/>
                <w:bCs/>
                <w:i w:val="0"/>
                <w:iCs w:val="0"/>
                <w:color w:val="auto"/>
                <w:kern w:val="0"/>
                <w:sz w:val="21"/>
                <w:szCs w:val="21"/>
                <w:u w:val="none"/>
                <w:vertAlign w:val="superscript"/>
                <w:lang w:val="en-US" w:eastAsia="zh-CN" w:bidi="ar"/>
              </w:rPr>
              <w:t>2</w:t>
            </w:r>
            <w:r>
              <w:rPr>
                <w:rFonts w:hint="default" w:ascii="Times New Roman" w:hAnsi="Times New Roman" w:eastAsia="宋体" w:cs="Times New Roman"/>
                <w:b/>
                <w:bCs/>
                <w:i w:val="0"/>
                <w:iCs w:val="0"/>
                <w:color w:val="auto"/>
                <w:kern w:val="0"/>
                <w:sz w:val="21"/>
                <w:szCs w:val="21"/>
                <w:u w:val="none"/>
                <w:lang w:val="en-US" w:eastAsia="zh-CN" w:bidi="ar"/>
              </w:rPr>
              <w:t>）</w:t>
            </w:r>
          </w:p>
        </w:tc>
        <w:tc>
          <w:tcPr>
            <w:tcW w:w="464" w:type="pct"/>
            <w:tcBorders>
              <w:tl2br w:val="nil"/>
              <w:tr2bl w:val="nil"/>
            </w:tcBorders>
            <w:shd w:val="clear" w:color="auto" w:fill="auto"/>
            <w:vAlign w:val="center"/>
          </w:tcPr>
          <w:p w14:paraId="15211FB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（个）</w:t>
            </w:r>
          </w:p>
        </w:tc>
        <w:tc>
          <w:tcPr>
            <w:tcW w:w="598" w:type="pct"/>
            <w:tcBorders>
              <w:tl2br w:val="nil"/>
              <w:tr2bl w:val="nil"/>
            </w:tcBorders>
            <w:shd w:val="clear" w:color="auto" w:fill="auto"/>
            <w:vAlign w:val="center"/>
          </w:tcPr>
          <w:p w14:paraId="34ECD99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治理</w:t>
            </w:r>
            <w:r>
              <w:rPr>
                <w:rFonts w:hint="eastAsia" w:ascii="Times New Roman" w:hAnsi="Times New Roman" w:eastAsia="宋体" w:cs="Times New Roman"/>
                <w:b/>
                <w:bCs/>
                <w:i w:val="0"/>
                <w:iCs w:val="0"/>
                <w:color w:val="auto"/>
                <w:kern w:val="0"/>
                <w:sz w:val="21"/>
                <w:szCs w:val="21"/>
                <w:u w:val="none"/>
                <w:lang w:val="en-US" w:eastAsia="zh-CN" w:bidi="ar"/>
              </w:rPr>
              <w:t>面积</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（km</w:t>
            </w:r>
            <w:r>
              <w:rPr>
                <w:rFonts w:hint="default" w:ascii="Times New Roman" w:hAnsi="Times New Roman" w:eastAsia="宋体" w:cs="Times New Roman"/>
                <w:b/>
                <w:bCs/>
                <w:i w:val="0"/>
                <w:iCs w:val="0"/>
                <w:color w:val="auto"/>
                <w:kern w:val="0"/>
                <w:sz w:val="21"/>
                <w:szCs w:val="21"/>
                <w:u w:val="none"/>
                <w:vertAlign w:val="superscript"/>
                <w:lang w:val="en-US" w:eastAsia="zh-CN" w:bidi="ar"/>
              </w:rPr>
              <w:t>2</w:t>
            </w:r>
            <w:r>
              <w:rPr>
                <w:rFonts w:hint="default" w:ascii="Times New Roman" w:hAnsi="Times New Roman" w:eastAsia="宋体" w:cs="Times New Roman"/>
                <w:b/>
                <w:bCs/>
                <w:i w:val="0"/>
                <w:iCs w:val="0"/>
                <w:color w:val="auto"/>
                <w:kern w:val="0"/>
                <w:sz w:val="21"/>
                <w:szCs w:val="21"/>
                <w:u w:val="none"/>
                <w:lang w:val="en-US" w:eastAsia="zh-CN" w:bidi="ar"/>
              </w:rPr>
              <w:t>）</w:t>
            </w:r>
          </w:p>
        </w:tc>
        <w:tc>
          <w:tcPr>
            <w:tcW w:w="457" w:type="pct"/>
            <w:tcBorders>
              <w:tl2br w:val="nil"/>
              <w:tr2bl w:val="nil"/>
            </w:tcBorders>
            <w:shd w:val="clear" w:color="auto" w:fill="auto"/>
            <w:vAlign w:val="center"/>
          </w:tcPr>
          <w:p w14:paraId="1DC2B9C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数量</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（个）</w:t>
            </w:r>
          </w:p>
        </w:tc>
        <w:tc>
          <w:tcPr>
            <w:tcW w:w="692" w:type="pct"/>
            <w:tcBorders>
              <w:tl2br w:val="nil"/>
              <w:tr2bl w:val="nil"/>
            </w:tcBorders>
            <w:shd w:val="clear" w:color="auto" w:fill="auto"/>
            <w:vAlign w:val="center"/>
          </w:tcPr>
          <w:p w14:paraId="09C5EC6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可治理</w:t>
            </w:r>
            <w:r>
              <w:rPr>
                <w:rFonts w:hint="eastAsia" w:ascii="Times New Roman" w:hAnsi="Times New Roman" w:eastAsia="宋体" w:cs="Times New Roman"/>
                <w:b/>
                <w:bCs/>
                <w:i w:val="0"/>
                <w:iCs w:val="0"/>
                <w:color w:val="auto"/>
                <w:kern w:val="0"/>
                <w:sz w:val="21"/>
                <w:szCs w:val="21"/>
                <w:u w:val="none"/>
                <w:lang w:val="en-US" w:eastAsia="zh-CN" w:bidi="ar"/>
              </w:rPr>
              <w:t>面积</w:t>
            </w:r>
            <w:r>
              <w:rPr>
                <w:rFonts w:hint="default" w:ascii="Times New Roman" w:hAnsi="Times New Roman" w:eastAsia="宋体" w:cs="Times New Roman"/>
                <w:b/>
                <w:bCs/>
                <w:i w:val="0"/>
                <w:iCs w:val="0"/>
                <w:color w:val="auto"/>
                <w:kern w:val="0"/>
                <w:sz w:val="21"/>
                <w:szCs w:val="21"/>
                <w:u w:val="none"/>
                <w:lang w:val="en-US" w:eastAsia="zh-CN" w:bidi="ar"/>
              </w:rPr>
              <w:br w:type="textWrapping"/>
            </w:r>
            <w:r>
              <w:rPr>
                <w:rFonts w:hint="default" w:ascii="Times New Roman" w:hAnsi="Times New Roman" w:eastAsia="宋体" w:cs="Times New Roman"/>
                <w:b/>
                <w:bCs/>
                <w:i w:val="0"/>
                <w:iCs w:val="0"/>
                <w:color w:val="auto"/>
                <w:kern w:val="0"/>
                <w:sz w:val="21"/>
                <w:szCs w:val="21"/>
                <w:u w:val="none"/>
                <w:lang w:val="en-US" w:eastAsia="zh-CN" w:bidi="ar"/>
              </w:rPr>
              <w:t>（km</w:t>
            </w:r>
            <w:r>
              <w:rPr>
                <w:rFonts w:hint="default" w:ascii="Times New Roman" w:hAnsi="Times New Roman" w:eastAsia="宋体" w:cs="Times New Roman"/>
                <w:b/>
                <w:bCs/>
                <w:i w:val="0"/>
                <w:iCs w:val="0"/>
                <w:color w:val="auto"/>
                <w:kern w:val="0"/>
                <w:sz w:val="21"/>
                <w:szCs w:val="21"/>
                <w:u w:val="none"/>
                <w:vertAlign w:val="superscript"/>
                <w:lang w:val="en-US" w:eastAsia="zh-CN" w:bidi="ar"/>
              </w:rPr>
              <w:t>2</w:t>
            </w:r>
            <w:r>
              <w:rPr>
                <w:rFonts w:hint="default" w:ascii="Times New Roman" w:hAnsi="Times New Roman" w:eastAsia="宋体" w:cs="Times New Roman"/>
                <w:b/>
                <w:bCs/>
                <w:i w:val="0"/>
                <w:iCs w:val="0"/>
                <w:color w:val="auto"/>
                <w:kern w:val="0"/>
                <w:sz w:val="21"/>
                <w:szCs w:val="21"/>
                <w:u w:val="none"/>
                <w:lang w:val="en-US" w:eastAsia="zh-CN" w:bidi="ar"/>
              </w:rPr>
              <w:t>）</w:t>
            </w:r>
          </w:p>
        </w:tc>
      </w:tr>
      <w:tr w14:paraId="0356764A">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rPr>
        <w:tc>
          <w:tcPr>
            <w:tcW w:w="500" w:type="pct"/>
            <w:tcBorders>
              <w:tl2br w:val="nil"/>
              <w:tr2bl w:val="nil"/>
            </w:tcBorders>
            <w:shd w:val="clear" w:color="auto" w:fill="auto"/>
            <w:vAlign w:val="center"/>
          </w:tcPr>
          <w:p w14:paraId="229C910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2021年</w:t>
            </w:r>
          </w:p>
        </w:tc>
        <w:tc>
          <w:tcPr>
            <w:tcW w:w="484" w:type="pct"/>
            <w:tcBorders>
              <w:tl2br w:val="nil"/>
              <w:tr2bl w:val="nil"/>
            </w:tcBorders>
            <w:shd w:val="clear" w:color="auto" w:fill="auto"/>
            <w:vAlign w:val="center"/>
          </w:tcPr>
          <w:p w14:paraId="75AD3B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631" w:type="pct"/>
            <w:tcBorders>
              <w:tl2br w:val="nil"/>
              <w:tr2bl w:val="nil"/>
            </w:tcBorders>
            <w:shd w:val="clear" w:color="auto" w:fill="auto"/>
            <w:vAlign w:val="center"/>
          </w:tcPr>
          <w:p w14:paraId="0963292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470</w:t>
            </w:r>
          </w:p>
        </w:tc>
        <w:tc>
          <w:tcPr>
            <w:tcW w:w="451" w:type="pct"/>
            <w:tcBorders>
              <w:tl2br w:val="nil"/>
              <w:tr2bl w:val="nil"/>
            </w:tcBorders>
            <w:shd w:val="clear" w:color="auto" w:fill="auto"/>
            <w:vAlign w:val="center"/>
          </w:tcPr>
          <w:p w14:paraId="58E6DE4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719" w:type="pct"/>
            <w:tcBorders>
              <w:tl2br w:val="nil"/>
              <w:tr2bl w:val="nil"/>
            </w:tcBorders>
            <w:shd w:val="clear" w:color="auto" w:fill="auto"/>
            <w:vAlign w:val="center"/>
          </w:tcPr>
          <w:p w14:paraId="2603A96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470</w:t>
            </w:r>
          </w:p>
        </w:tc>
        <w:tc>
          <w:tcPr>
            <w:tcW w:w="464" w:type="pct"/>
            <w:tcBorders>
              <w:tl2br w:val="nil"/>
              <w:tr2bl w:val="nil"/>
            </w:tcBorders>
            <w:shd w:val="clear" w:color="auto" w:fill="auto"/>
            <w:noWrap/>
            <w:vAlign w:val="center"/>
          </w:tcPr>
          <w:p w14:paraId="7F218D02">
            <w:pPr>
              <w:jc w:val="center"/>
              <w:rPr>
                <w:rFonts w:hint="default" w:ascii="Times New Roman" w:hAnsi="Times New Roman" w:eastAsia="宋体" w:cs="Times New Roman"/>
                <w:i w:val="0"/>
                <w:iCs w:val="0"/>
                <w:color w:val="auto"/>
                <w:sz w:val="21"/>
                <w:szCs w:val="21"/>
                <w:u w:val="none"/>
              </w:rPr>
            </w:pPr>
          </w:p>
        </w:tc>
        <w:tc>
          <w:tcPr>
            <w:tcW w:w="598" w:type="pct"/>
            <w:tcBorders>
              <w:tl2br w:val="nil"/>
              <w:tr2bl w:val="nil"/>
            </w:tcBorders>
            <w:shd w:val="clear" w:color="auto" w:fill="auto"/>
            <w:noWrap/>
            <w:vAlign w:val="center"/>
          </w:tcPr>
          <w:p w14:paraId="1E7D2626">
            <w:pPr>
              <w:jc w:val="center"/>
              <w:rPr>
                <w:rFonts w:hint="default" w:ascii="Times New Roman" w:hAnsi="Times New Roman" w:eastAsia="宋体" w:cs="Times New Roman"/>
                <w:i w:val="0"/>
                <w:iCs w:val="0"/>
                <w:color w:val="auto"/>
                <w:sz w:val="21"/>
                <w:szCs w:val="21"/>
                <w:u w:val="none"/>
              </w:rPr>
            </w:pPr>
          </w:p>
        </w:tc>
        <w:tc>
          <w:tcPr>
            <w:tcW w:w="457" w:type="pct"/>
            <w:tcBorders>
              <w:tl2br w:val="nil"/>
              <w:tr2bl w:val="nil"/>
            </w:tcBorders>
            <w:shd w:val="clear" w:color="auto" w:fill="auto"/>
            <w:noWrap/>
            <w:vAlign w:val="center"/>
          </w:tcPr>
          <w:p w14:paraId="4AEEE294">
            <w:pPr>
              <w:jc w:val="center"/>
              <w:rPr>
                <w:rFonts w:hint="default" w:ascii="Times New Roman" w:hAnsi="Times New Roman" w:eastAsia="宋体" w:cs="Times New Roman"/>
                <w:i w:val="0"/>
                <w:iCs w:val="0"/>
                <w:color w:val="auto"/>
                <w:sz w:val="21"/>
                <w:szCs w:val="21"/>
                <w:u w:val="none"/>
              </w:rPr>
            </w:pPr>
          </w:p>
        </w:tc>
        <w:tc>
          <w:tcPr>
            <w:tcW w:w="692" w:type="pct"/>
            <w:tcBorders>
              <w:tl2br w:val="nil"/>
              <w:tr2bl w:val="nil"/>
            </w:tcBorders>
            <w:shd w:val="clear" w:color="auto" w:fill="auto"/>
            <w:noWrap/>
            <w:vAlign w:val="center"/>
          </w:tcPr>
          <w:p w14:paraId="4F75E6C2">
            <w:pPr>
              <w:jc w:val="center"/>
              <w:rPr>
                <w:rFonts w:hint="default" w:ascii="Times New Roman" w:hAnsi="Times New Roman" w:eastAsia="宋体" w:cs="Times New Roman"/>
                <w:i w:val="0"/>
                <w:iCs w:val="0"/>
                <w:color w:val="auto"/>
                <w:sz w:val="21"/>
                <w:szCs w:val="21"/>
                <w:u w:val="none"/>
              </w:rPr>
            </w:pPr>
          </w:p>
        </w:tc>
      </w:tr>
      <w:tr w14:paraId="6C0C7F8A">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500" w:type="pct"/>
            <w:tcBorders>
              <w:tl2br w:val="nil"/>
              <w:tr2bl w:val="nil"/>
            </w:tcBorders>
            <w:shd w:val="clear" w:color="auto" w:fill="auto"/>
            <w:vAlign w:val="center"/>
          </w:tcPr>
          <w:p w14:paraId="64EBCF1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2022年</w:t>
            </w:r>
          </w:p>
        </w:tc>
        <w:tc>
          <w:tcPr>
            <w:tcW w:w="484" w:type="pct"/>
            <w:tcBorders>
              <w:tl2br w:val="nil"/>
              <w:tr2bl w:val="nil"/>
            </w:tcBorders>
            <w:shd w:val="clear" w:color="auto" w:fill="auto"/>
            <w:vAlign w:val="center"/>
          </w:tcPr>
          <w:p w14:paraId="715A29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631" w:type="pct"/>
            <w:tcBorders>
              <w:tl2br w:val="nil"/>
              <w:tr2bl w:val="nil"/>
            </w:tcBorders>
            <w:shd w:val="clear" w:color="auto" w:fill="auto"/>
            <w:vAlign w:val="center"/>
          </w:tcPr>
          <w:p w14:paraId="04BE36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525</w:t>
            </w:r>
          </w:p>
        </w:tc>
        <w:tc>
          <w:tcPr>
            <w:tcW w:w="451" w:type="pct"/>
            <w:tcBorders>
              <w:tl2br w:val="nil"/>
              <w:tr2bl w:val="nil"/>
            </w:tcBorders>
            <w:shd w:val="clear" w:color="auto" w:fill="auto"/>
            <w:vAlign w:val="center"/>
          </w:tcPr>
          <w:p w14:paraId="291FBDA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19" w:type="pct"/>
            <w:tcBorders>
              <w:tl2br w:val="nil"/>
              <w:tr2bl w:val="nil"/>
            </w:tcBorders>
            <w:shd w:val="clear" w:color="auto" w:fill="auto"/>
            <w:vAlign w:val="center"/>
          </w:tcPr>
          <w:p w14:paraId="7F8FE8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525</w:t>
            </w:r>
          </w:p>
        </w:tc>
        <w:tc>
          <w:tcPr>
            <w:tcW w:w="464" w:type="pct"/>
            <w:tcBorders>
              <w:tl2br w:val="nil"/>
              <w:tr2bl w:val="nil"/>
            </w:tcBorders>
            <w:shd w:val="clear" w:color="auto" w:fill="auto"/>
            <w:noWrap/>
            <w:vAlign w:val="center"/>
          </w:tcPr>
          <w:p w14:paraId="48247939">
            <w:pPr>
              <w:jc w:val="center"/>
              <w:rPr>
                <w:rFonts w:hint="default" w:ascii="Times New Roman" w:hAnsi="Times New Roman" w:eastAsia="宋体" w:cs="Times New Roman"/>
                <w:i w:val="0"/>
                <w:iCs w:val="0"/>
                <w:color w:val="auto"/>
                <w:sz w:val="21"/>
                <w:szCs w:val="21"/>
                <w:u w:val="none"/>
              </w:rPr>
            </w:pPr>
          </w:p>
        </w:tc>
        <w:tc>
          <w:tcPr>
            <w:tcW w:w="598" w:type="pct"/>
            <w:tcBorders>
              <w:tl2br w:val="nil"/>
              <w:tr2bl w:val="nil"/>
            </w:tcBorders>
            <w:shd w:val="clear" w:color="auto" w:fill="auto"/>
            <w:noWrap/>
            <w:vAlign w:val="center"/>
          </w:tcPr>
          <w:p w14:paraId="574847C8">
            <w:pPr>
              <w:jc w:val="center"/>
              <w:rPr>
                <w:rFonts w:hint="default" w:ascii="Times New Roman" w:hAnsi="Times New Roman" w:eastAsia="宋体" w:cs="Times New Roman"/>
                <w:i w:val="0"/>
                <w:iCs w:val="0"/>
                <w:color w:val="auto"/>
                <w:sz w:val="21"/>
                <w:szCs w:val="21"/>
                <w:u w:val="none"/>
              </w:rPr>
            </w:pPr>
          </w:p>
        </w:tc>
        <w:tc>
          <w:tcPr>
            <w:tcW w:w="457" w:type="pct"/>
            <w:tcBorders>
              <w:tl2br w:val="nil"/>
              <w:tr2bl w:val="nil"/>
            </w:tcBorders>
            <w:shd w:val="clear" w:color="auto" w:fill="auto"/>
            <w:noWrap/>
            <w:vAlign w:val="center"/>
          </w:tcPr>
          <w:p w14:paraId="1CBEB32D">
            <w:pPr>
              <w:jc w:val="center"/>
              <w:rPr>
                <w:rFonts w:hint="default" w:ascii="Times New Roman" w:hAnsi="Times New Roman" w:eastAsia="宋体" w:cs="Times New Roman"/>
                <w:i w:val="0"/>
                <w:iCs w:val="0"/>
                <w:color w:val="auto"/>
                <w:sz w:val="21"/>
                <w:szCs w:val="21"/>
                <w:u w:val="none"/>
              </w:rPr>
            </w:pPr>
          </w:p>
        </w:tc>
        <w:tc>
          <w:tcPr>
            <w:tcW w:w="692" w:type="pct"/>
            <w:tcBorders>
              <w:tl2br w:val="nil"/>
              <w:tr2bl w:val="nil"/>
            </w:tcBorders>
            <w:shd w:val="clear" w:color="auto" w:fill="auto"/>
            <w:noWrap/>
            <w:vAlign w:val="center"/>
          </w:tcPr>
          <w:p w14:paraId="22164AE7">
            <w:pPr>
              <w:jc w:val="center"/>
              <w:rPr>
                <w:rFonts w:hint="default" w:ascii="Times New Roman" w:hAnsi="Times New Roman" w:eastAsia="宋体" w:cs="Times New Roman"/>
                <w:i w:val="0"/>
                <w:iCs w:val="0"/>
                <w:color w:val="auto"/>
                <w:sz w:val="21"/>
                <w:szCs w:val="21"/>
                <w:u w:val="none"/>
              </w:rPr>
            </w:pPr>
          </w:p>
        </w:tc>
      </w:tr>
      <w:tr w14:paraId="493F682F">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500" w:type="pct"/>
            <w:tcBorders>
              <w:tl2br w:val="nil"/>
              <w:tr2bl w:val="nil"/>
            </w:tcBorders>
            <w:shd w:val="clear" w:color="auto" w:fill="auto"/>
            <w:vAlign w:val="center"/>
          </w:tcPr>
          <w:p w14:paraId="6266E78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2023年</w:t>
            </w:r>
          </w:p>
        </w:tc>
        <w:tc>
          <w:tcPr>
            <w:tcW w:w="484" w:type="pct"/>
            <w:tcBorders>
              <w:tl2br w:val="nil"/>
              <w:tr2bl w:val="nil"/>
            </w:tcBorders>
            <w:shd w:val="clear" w:color="auto" w:fill="auto"/>
            <w:vAlign w:val="center"/>
          </w:tcPr>
          <w:p w14:paraId="1C39BA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59</w:t>
            </w:r>
          </w:p>
        </w:tc>
        <w:tc>
          <w:tcPr>
            <w:tcW w:w="631" w:type="pct"/>
            <w:tcBorders>
              <w:tl2br w:val="nil"/>
              <w:tr2bl w:val="nil"/>
            </w:tcBorders>
            <w:shd w:val="clear" w:color="auto" w:fill="auto"/>
            <w:vAlign w:val="center"/>
          </w:tcPr>
          <w:p w14:paraId="2EC4E8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659</w:t>
            </w:r>
          </w:p>
        </w:tc>
        <w:tc>
          <w:tcPr>
            <w:tcW w:w="451" w:type="pct"/>
            <w:tcBorders>
              <w:tl2br w:val="nil"/>
              <w:tr2bl w:val="nil"/>
            </w:tcBorders>
            <w:shd w:val="clear" w:color="auto" w:fill="auto"/>
            <w:vAlign w:val="center"/>
          </w:tcPr>
          <w:p w14:paraId="74788B1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r>
              <w:rPr>
                <w:rFonts w:hint="eastAsia" w:ascii="Times New Roman" w:hAnsi="Times New Roman" w:eastAsia="宋体" w:cs="Times New Roman"/>
                <w:i w:val="0"/>
                <w:iCs w:val="0"/>
                <w:color w:val="auto"/>
                <w:kern w:val="0"/>
                <w:sz w:val="21"/>
                <w:szCs w:val="21"/>
                <w:u w:val="none"/>
                <w:lang w:val="en-US" w:eastAsia="zh-CN" w:bidi="ar"/>
              </w:rPr>
              <w:t>3</w:t>
            </w:r>
          </w:p>
        </w:tc>
        <w:tc>
          <w:tcPr>
            <w:tcW w:w="719" w:type="pct"/>
            <w:tcBorders>
              <w:tl2br w:val="nil"/>
              <w:tr2bl w:val="nil"/>
            </w:tcBorders>
            <w:shd w:val="clear" w:color="auto" w:fill="auto"/>
            <w:vAlign w:val="center"/>
          </w:tcPr>
          <w:p w14:paraId="4003ECC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1012</w:t>
            </w:r>
          </w:p>
        </w:tc>
        <w:tc>
          <w:tcPr>
            <w:tcW w:w="464" w:type="pct"/>
            <w:tcBorders>
              <w:tl2br w:val="nil"/>
              <w:tr2bl w:val="nil"/>
            </w:tcBorders>
            <w:shd w:val="clear" w:color="auto" w:fill="auto"/>
            <w:noWrap/>
            <w:vAlign w:val="center"/>
          </w:tcPr>
          <w:p w14:paraId="264FD1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98" w:type="pct"/>
            <w:tcBorders>
              <w:tl2br w:val="nil"/>
              <w:tr2bl w:val="nil"/>
            </w:tcBorders>
            <w:shd w:val="clear" w:color="auto" w:fill="auto"/>
            <w:noWrap/>
            <w:vAlign w:val="center"/>
          </w:tcPr>
          <w:p w14:paraId="53E5B70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457" w:type="pct"/>
            <w:tcBorders>
              <w:tl2br w:val="nil"/>
              <w:tr2bl w:val="nil"/>
            </w:tcBorders>
            <w:shd w:val="clear" w:color="auto" w:fill="auto"/>
            <w:noWrap/>
            <w:vAlign w:val="center"/>
          </w:tcPr>
          <w:p w14:paraId="6D501C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692" w:type="pct"/>
            <w:tcBorders>
              <w:tl2br w:val="nil"/>
              <w:tr2bl w:val="nil"/>
            </w:tcBorders>
            <w:shd w:val="clear" w:color="auto" w:fill="auto"/>
            <w:noWrap/>
            <w:vAlign w:val="center"/>
          </w:tcPr>
          <w:p w14:paraId="69ED548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94 </w:t>
            </w:r>
          </w:p>
        </w:tc>
      </w:tr>
      <w:tr w14:paraId="47750CD7">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69" w:hRule="atLeast"/>
        </w:trPr>
        <w:tc>
          <w:tcPr>
            <w:tcW w:w="500" w:type="pct"/>
            <w:tcBorders>
              <w:tl2br w:val="nil"/>
              <w:tr2bl w:val="nil"/>
            </w:tcBorders>
            <w:shd w:val="clear" w:color="auto" w:fill="auto"/>
            <w:vAlign w:val="center"/>
          </w:tcPr>
          <w:p w14:paraId="7BB2977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2024年</w:t>
            </w:r>
          </w:p>
        </w:tc>
        <w:tc>
          <w:tcPr>
            <w:tcW w:w="484" w:type="pct"/>
            <w:tcBorders>
              <w:tl2br w:val="nil"/>
              <w:tr2bl w:val="nil"/>
            </w:tcBorders>
            <w:shd w:val="clear" w:color="auto" w:fill="auto"/>
            <w:vAlign w:val="center"/>
          </w:tcPr>
          <w:p w14:paraId="5B15D3F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631" w:type="pct"/>
            <w:tcBorders>
              <w:tl2br w:val="nil"/>
              <w:tr2bl w:val="nil"/>
            </w:tcBorders>
            <w:shd w:val="clear" w:color="auto" w:fill="auto"/>
            <w:vAlign w:val="center"/>
          </w:tcPr>
          <w:p w14:paraId="3C37EBB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598</w:t>
            </w:r>
          </w:p>
        </w:tc>
        <w:tc>
          <w:tcPr>
            <w:tcW w:w="451" w:type="pct"/>
            <w:tcBorders>
              <w:tl2br w:val="nil"/>
              <w:tr2bl w:val="nil"/>
            </w:tcBorders>
            <w:shd w:val="clear" w:color="auto" w:fill="auto"/>
            <w:vAlign w:val="center"/>
          </w:tcPr>
          <w:p w14:paraId="13C712E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r>
              <w:rPr>
                <w:rFonts w:hint="eastAsia" w:ascii="Times New Roman" w:hAnsi="Times New Roman" w:eastAsia="宋体" w:cs="Times New Roman"/>
                <w:i w:val="0"/>
                <w:iCs w:val="0"/>
                <w:color w:val="auto"/>
                <w:kern w:val="0"/>
                <w:sz w:val="21"/>
                <w:szCs w:val="21"/>
                <w:u w:val="none"/>
                <w:lang w:val="en-US" w:eastAsia="zh-CN" w:bidi="ar"/>
              </w:rPr>
              <w:t>2</w:t>
            </w:r>
          </w:p>
        </w:tc>
        <w:tc>
          <w:tcPr>
            <w:tcW w:w="719" w:type="pct"/>
            <w:tcBorders>
              <w:tl2br w:val="nil"/>
              <w:tr2bl w:val="nil"/>
            </w:tcBorders>
            <w:shd w:val="clear" w:color="auto" w:fill="auto"/>
            <w:vAlign w:val="center"/>
          </w:tcPr>
          <w:p w14:paraId="4952DE6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8</w:t>
            </w:r>
            <w:r>
              <w:rPr>
                <w:rFonts w:hint="eastAsia" w:ascii="Times New Roman" w:hAnsi="Times New Roman" w:eastAsia="宋体" w:cs="Times New Roman"/>
                <w:i w:val="0"/>
                <w:iCs w:val="0"/>
                <w:color w:val="auto"/>
                <w:kern w:val="0"/>
                <w:sz w:val="21"/>
                <w:szCs w:val="21"/>
                <w:u w:val="none"/>
                <w:lang w:val="en-US" w:eastAsia="zh-CN" w:bidi="ar"/>
              </w:rPr>
              <w:t>33</w:t>
            </w:r>
          </w:p>
        </w:tc>
        <w:tc>
          <w:tcPr>
            <w:tcW w:w="464" w:type="pct"/>
            <w:tcBorders>
              <w:tl2br w:val="nil"/>
              <w:tr2bl w:val="nil"/>
            </w:tcBorders>
            <w:shd w:val="clear" w:color="auto" w:fill="auto"/>
            <w:noWrap/>
            <w:vAlign w:val="center"/>
          </w:tcPr>
          <w:p w14:paraId="17E792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598" w:type="pct"/>
            <w:tcBorders>
              <w:tl2br w:val="nil"/>
              <w:tr2bl w:val="nil"/>
            </w:tcBorders>
            <w:shd w:val="clear" w:color="auto" w:fill="auto"/>
            <w:noWrap/>
            <w:vAlign w:val="center"/>
          </w:tcPr>
          <w:p w14:paraId="5349E96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457" w:type="pct"/>
            <w:tcBorders>
              <w:tl2br w:val="nil"/>
              <w:tr2bl w:val="nil"/>
            </w:tcBorders>
            <w:shd w:val="clear" w:color="auto" w:fill="auto"/>
            <w:noWrap/>
            <w:vAlign w:val="center"/>
          </w:tcPr>
          <w:p w14:paraId="3CB201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692" w:type="pct"/>
            <w:tcBorders>
              <w:tl2br w:val="nil"/>
              <w:tr2bl w:val="nil"/>
            </w:tcBorders>
            <w:shd w:val="clear" w:color="auto" w:fill="auto"/>
            <w:noWrap/>
            <w:vAlign w:val="center"/>
          </w:tcPr>
          <w:p w14:paraId="6F02C1C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80 </w:t>
            </w:r>
          </w:p>
        </w:tc>
      </w:tr>
      <w:tr w14:paraId="5CC697CE">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rPr>
        <w:tc>
          <w:tcPr>
            <w:tcW w:w="500" w:type="pct"/>
            <w:tcBorders>
              <w:tl2br w:val="nil"/>
              <w:tr2bl w:val="nil"/>
            </w:tcBorders>
            <w:shd w:val="clear" w:color="auto" w:fill="auto"/>
            <w:vAlign w:val="center"/>
          </w:tcPr>
          <w:p w14:paraId="0CBD6D6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2025年</w:t>
            </w:r>
          </w:p>
        </w:tc>
        <w:tc>
          <w:tcPr>
            <w:tcW w:w="484" w:type="pct"/>
            <w:tcBorders>
              <w:tl2br w:val="nil"/>
              <w:tr2bl w:val="nil"/>
            </w:tcBorders>
            <w:shd w:val="clear" w:color="auto" w:fill="auto"/>
            <w:vAlign w:val="center"/>
          </w:tcPr>
          <w:p w14:paraId="1F1054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631" w:type="pct"/>
            <w:tcBorders>
              <w:tl2br w:val="nil"/>
              <w:tr2bl w:val="nil"/>
            </w:tcBorders>
            <w:shd w:val="clear" w:color="auto" w:fill="auto"/>
            <w:vAlign w:val="center"/>
          </w:tcPr>
          <w:p w14:paraId="56030E1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548</w:t>
            </w:r>
          </w:p>
        </w:tc>
        <w:tc>
          <w:tcPr>
            <w:tcW w:w="451" w:type="pct"/>
            <w:tcBorders>
              <w:tl2br w:val="nil"/>
              <w:tr2bl w:val="nil"/>
            </w:tcBorders>
            <w:shd w:val="clear" w:color="auto" w:fill="auto"/>
            <w:vAlign w:val="center"/>
          </w:tcPr>
          <w:p w14:paraId="5527AFF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ascii="Times New Roman" w:hAnsi="Times New Roman" w:eastAsia="宋体" w:cs="Times New Roman"/>
                <w:i w:val="0"/>
                <w:iCs w:val="0"/>
                <w:color w:val="auto"/>
                <w:kern w:val="0"/>
                <w:sz w:val="21"/>
                <w:szCs w:val="21"/>
                <w:u w:val="none"/>
                <w:lang w:val="en-US" w:eastAsia="zh-CN" w:bidi="ar"/>
              </w:rPr>
              <w:t>9</w:t>
            </w:r>
          </w:p>
        </w:tc>
        <w:tc>
          <w:tcPr>
            <w:tcW w:w="719" w:type="pct"/>
            <w:tcBorders>
              <w:tl2br w:val="nil"/>
              <w:tr2bl w:val="nil"/>
            </w:tcBorders>
            <w:shd w:val="clear" w:color="auto" w:fill="auto"/>
            <w:vAlign w:val="center"/>
          </w:tcPr>
          <w:p w14:paraId="2D139B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ascii="Times New Roman" w:hAnsi="Times New Roman" w:eastAsia="宋体" w:cs="Times New Roman"/>
                <w:i w:val="0"/>
                <w:iCs w:val="0"/>
                <w:color w:val="auto"/>
                <w:kern w:val="0"/>
                <w:sz w:val="21"/>
                <w:szCs w:val="21"/>
                <w:u w:val="none"/>
                <w:lang w:val="en-US" w:eastAsia="zh-CN" w:bidi="ar"/>
              </w:rPr>
              <w:t>725</w:t>
            </w:r>
          </w:p>
        </w:tc>
        <w:tc>
          <w:tcPr>
            <w:tcW w:w="464" w:type="pct"/>
            <w:tcBorders>
              <w:tl2br w:val="nil"/>
              <w:tr2bl w:val="nil"/>
            </w:tcBorders>
            <w:shd w:val="clear" w:color="auto" w:fill="auto"/>
            <w:noWrap/>
            <w:vAlign w:val="center"/>
          </w:tcPr>
          <w:p w14:paraId="6E8BF65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598" w:type="pct"/>
            <w:tcBorders>
              <w:tl2br w:val="nil"/>
              <w:tr2bl w:val="nil"/>
            </w:tcBorders>
            <w:shd w:val="clear" w:color="auto" w:fill="auto"/>
            <w:noWrap/>
            <w:vAlign w:val="center"/>
          </w:tcPr>
          <w:p w14:paraId="7380FA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457" w:type="pct"/>
            <w:tcBorders>
              <w:tl2br w:val="nil"/>
              <w:tr2bl w:val="nil"/>
            </w:tcBorders>
            <w:shd w:val="clear" w:color="auto" w:fill="auto"/>
            <w:noWrap/>
            <w:vAlign w:val="center"/>
          </w:tcPr>
          <w:p w14:paraId="7F6ABF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692" w:type="pct"/>
            <w:tcBorders>
              <w:tl2br w:val="nil"/>
              <w:tr2bl w:val="nil"/>
            </w:tcBorders>
            <w:shd w:val="clear" w:color="auto" w:fill="auto"/>
            <w:noWrap/>
            <w:vAlign w:val="center"/>
          </w:tcPr>
          <w:p w14:paraId="4B2354D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60 </w:t>
            </w:r>
          </w:p>
        </w:tc>
      </w:tr>
      <w:tr w14:paraId="353FA788">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9" w:hRule="atLeast"/>
        </w:trPr>
        <w:tc>
          <w:tcPr>
            <w:tcW w:w="500" w:type="pct"/>
            <w:tcBorders>
              <w:tl2br w:val="nil"/>
              <w:tr2bl w:val="nil"/>
            </w:tcBorders>
            <w:shd w:val="clear" w:color="auto" w:fill="auto"/>
            <w:vAlign w:val="center"/>
          </w:tcPr>
          <w:p w14:paraId="085FC28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合计</w:t>
            </w:r>
          </w:p>
        </w:tc>
        <w:tc>
          <w:tcPr>
            <w:tcW w:w="484" w:type="pct"/>
            <w:tcBorders>
              <w:tl2br w:val="nil"/>
              <w:tr2bl w:val="nil"/>
            </w:tcBorders>
            <w:shd w:val="clear" w:color="auto" w:fill="auto"/>
            <w:vAlign w:val="center"/>
          </w:tcPr>
          <w:p w14:paraId="4926EB3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224</w:t>
            </w:r>
          </w:p>
        </w:tc>
        <w:tc>
          <w:tcPr>
            <w:tcW w:w="631" w:type="pct"/>
            <w:tcBorders>
              <w:tl2br w:val="nil"/>
              <w:tr2bl w:val="nil"/>
            </w:tcBorders>
            <w:shd w:val="clear" w:color="auto" w:fill="auto"/>
            <w:vAlign w:val="center"/>
          </w:tcPr>
          <w:p w14:paraId="675B801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2800</w:t>
            </w:r>
          </w:p>
        </w:tc>
        <w:tc>
          <w:tcPr>
            <w:tcW w:w="451" w:type="pct"/>
            <w:tcBorders>
              <w:tl2br w:val="nil"/>
              <w:tr2bl w:val="nil"/>
            </w:tcBorders>
            <w:shd w:val="clear" w:color="auto" w:fill="auto"/>
            <w:vAlign w:val="center"/>
          </w:tcPr>
          <w:p w14:paraId="31C5BD0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24</w:t>
            </w:r>
            <w:r>
              <w:rPr>
                <w:rFonts w:hint="eastAsia" w:ascii="Times New Roman" w:hAnsi="Times New Roman" w:eastAsia="宋体" w:cs="Times New Roman"/>
                <w:b/>
                <w:bCs/>
                <w:i w:val="0"/>
                <w:iCs w:val="0"/>
                <w:color w:val="auto"/>
                <w:kern w:val="0"/>
                <w:sz w:val="21"/>
                <w:szCs w:val="21"/>
                <w:u w:val="none"/>
                <w:lang w:val="en-US" w:eastAsia="zh-CN" w:bidi="ar"/>
              </w:rPr>
              <w:t>9</w:t>
            </w:r>
          </w:p>
        </w:tc>
        <w:tc>
          <w:tcPr>
            <w:tcW w:w="719" w:type="pct"/>
            <w:tcBorders>
              <w:tl2br w:val="nil"/>
              <w:tr2bl w:val="nil"/>
            </w:tcBorders>
            <w:shd w:val="clear" w:color="auto" w:fill="auto"/>
            <w:vAlign w:val="center"/>
          </w:tcPr>
          <w:p w14:paraId="2752562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lang w:val="en-US"/>
              </w:rPr>
            </w:pPr>
            <w:r>
              <w:rPr>
                <w:rFonts w:hint="default" w:ascii="Times New Roman" w:hAnsi="Times New Roman" w:eastAsia="宋体" w:cs="Times New Roman"/>
                <w:b/>
                <w:bCs/>
                <w:i w:val="0"/>
                <w:iCs w:val="0"/>
                <w:color w:val="auto"/>
                <w:kern w:val="0"/>
                <w:sz w:val="21"/>
                <w:szCs w:val="21"/>
                <w:u w:val="none"/>
                <w:lang w:val="en-US" w:eastAsia="zh-CN" w:bidi="ar"/>
              </w:rPr>
              <w:t>35</w:t>
            </w:r>
            <w:r>
              <w:rPr>
                <w:rFonts w:hint="eastAsia" w:ascii="Times New Roman" w:hAnsi="Times New Roman" w:eastAsia="宋体" w:cs="Times New Roman"/>
                <w:b/>
                <w:bCs/>
                <w:i w:val="0"/>
                <w:iCs w:val="0"/>
                <w:color w:val="auto"/>
                <w:kern w:val="0"/>
                <w:sz w:val="21"/>
                <w:szCs w:val="21"/>
                <w:u w:val="none"/>
                <w:lang w:val="en-US" w:eastAsia="zh-CN" w:bidi="ar"/>
              </w:rPr>
              <w:t>65</w:t>
            </w:r>
          </w:p>
        </w:tc>
        <w:tc>
          <w:tcPr>
            <w:tcW w:w="464" w:type="pct"/>
            <w:tcBorders>
              <w:tl2br w:val="nil"/>
              <w:tr2bl w:val="nil"/>
            </w:tcBorders>
            <w:shd w:val="clear" w:color="auto" w:fill="auto"/>
            <w:vAlign w:val="center"/>
          </w:tcPr>
          <w:p w14:paraId="16CB47B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50</w:t>
            </w:r>
          </w:p>
        </w:tc>
        <w:tc>
          <w:tcPr>
            <w:tcW w:w="598" w:type="pct"/>
            <w:tcBorders>
              <w:tl2br w:val="nil"/>
              <w:tr2bl w:val="nil"/>
            </w:tcBorders>
            <w:shd w:val="clear" w:color="auto" w:fill="auto"/>
            <w:vAlign w:val="center"/>
          </w:tcPr>
          <w:p w14:paraId="5F7F2BE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120</w:t>
            </w:r>
          </w:p>
        </w:tc>
        <w:tc>
          <w:tcPr>
            <w:tcW w:w="457" w:type="pct"/>
            <w:tcBorders>
              <w:tl2br w:val="nil"/>
              <w:tr2bl w:val="nil"/>
            </w:tcBorders>
            <w:shd w:val="clear" w:color="auto" w:fill="auto"/>
            <w:vAlign w:val="center"/>
          </w:tcPr>
          <w:p w14:paraId="5FC4EA3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83</w:t>
            </w:r>
          </w:p>
        </w:tc>
        <w:tc>
          <w:tcPr>
            <w:tcW w:w="692" w:type="pct"/>
            <w:tcBorders>
              <w:tl2br w:val="nil"/>
              <w:tr2bl w:val="nil"/>
            </w:tcBorders>
            <w:shd w:val="clear" w:color="auto" w:fill="auto"/>
            <w:vAlign w:val="center"/>
          </w:tcPr>
          <w:p w14:paraId="0AD7629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234 </w:t>
            </w:r>
          </w:p>
        </w:tc>
      </w:tr>
    </w:tbl>
    <w:p w14:paraId="4579A8DD">
      <w:pPr>
        <w:rPr>
          <w:rFonts w:hint="eastAsia"/>
          <w:color w:val="auto"/>
          <w:lang w:val="en-US" w:eastAsia="zh-CN"/>
        </w:rPr>
        <w:sectPr>
          <w:head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A02D20F">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178" w:name="_Toc19200"/>
      <w:r>
        <w:rPr>
          <w:rFonts w:hint="eastAsia" w:ascii="方正小标宋_GBK" w:hAnsi="Times New Roman" w:eastAsia="方正小标宋_GBK" w:cs="Times New Roman"/>
          <w:b/>
          <w:bCs w:val="0"/>
          <w:color w:val="auto"/>
          <w:kern w:val="44"/>
          <w:sz w:val="36"/>
          <w:szCs w:val="36"/>
          <w:lang w:val="en-US" w:eastAsia="zh-CN" w:bidi="ar-SA"/>
        </w:rPr>
        <w:t>第六章</w:t>
      </w:r>
      <w:r>
        <w:rPr>
          <w:rFonts w:hint="default" w:ascii="方正小标宋_GBK" w:hAnsi="Times New Roman" w:eastAsia="方正小标宋_GBK" w:cs="Times New Roman"/>
          <w:b/>
          <w:bCs w:val="0"/>
          <w:color w:val="auto"/>
          <w:kern w:val="44"/>
          <w:sz w:val="36"/>
          <w:szCs w:val="36"/>
          <w:lang w:val="en-US" w:eastAsia="zh-CN" w:bidi="ar-SA"/>
        </w:rPr>
        <w:t xml:space="preserve"> 水土保持监督管理</w:t>
      </w:r>
      <w:bookmarkEnd w:id="173"/>
      <w:bookmarkEnd w:id="174"/>
      <w:bookmarkEnd w:id="178"/>
    </w:p>
    <w:p w14:paraId="6010EB6F">
      <w:pPr>
        <w:keepNext w:val="0"/>
        <w:keepLines w:val="0"/>
        <w:widowControl/>
        <w:suppressLineNumbers w:val="0"/>
        <w:ind w:firstLine="560" w:firstLineChars="200"/>
        <w:jc w:val="left"/>
        <w:rPr>
          <w:rFonts w:hint="default" w:ascii="Times New Roman" w:hAnsi="Times New Roman" w:cs="Times New Roman"/>
          <w:snapToGrid w:val="0"/>
          <w:color w:val="auto"/>
          <w:sz w:val="28"/>
          <w:szCs w:val="28"/>
        </w:rPr>
      </w:pPr>
      <w:r>
        <w:rPr>
          <w:rFonts w:hint="default" w:ascii="Times New Roman" w:hAnsi="Times New Roman" w:cs="Times New Roman"/>
          <w:snapToGrid w:val="0"/>
          <w:color w:val="auto"/>
          <w:sz w:val="28"/>
          <w:szCs w:val="28"/>
        </w:rPr>
        <w:t>水土保持监督管理是落实“预防为主、保护优先”方针、推动水土流失防治由事后治理向事前保护转变的重要手段。</w:t>
      </w:r>
      <w:r>
        <w:rPr>
          <w:rFonts w:hint="default" w:ascii="Times New Roman" w:hAnsi="Times New Roman" w:cs="Times New Roman"/>
          <w:snapToGrid w:val="0"/>
          <w:color w:val="auto"/>
          <w:sz w:val="28"/>
          <w:szCs w:val="28"/>
          <w:lang w:val="en-US" w:eastAsia="zh-CN"/>
        </w:rPr>
        <w:t>建立健全水土保持监督管理制度和规则，强化制度落实和执行，突出源头管控，持续创新监管手段和方式</w:t>
      </w:r>
      <w:r>
        <w:rPr>
          <w:rFonts w:hint="eastAsia" w:ascii="Times New Roman" w:hAnsi="Times New Roman" w:cs="Times New Roman"/>
          <w:snapToGrid w:val="0"/>
          <w:color w:val="auto"/>
          <w:sz w:val="28"/>
          <w:szCs w:val="28"/>
          <w:lang w:val="en-US" w:eastAsia="zh-CN"/>
        </w:rPr>
        <w:t>，</w:t>
      </w:r>
      <w:r>
        <w:rPr>
          <w:rFonts w:hint="default" w:ascii="Times New Roman" w:hAnsi="Times New Roman" w:cs="Times New Roman"/>
          <w:snapToGrid w:val="0"/>
          <w:color w:val="auto"/>
          <w:sz w:val="28"/>
          <w:szCs w:val="28"/>
          <w:lang w:val="en-US" w:eastAsia="zh-CN"/>
        </w:rPr>
        <w:t>以高水平高效能的监管，促进经济社会发展绿色转型，为经济社会高质量发展和人民群众优美生态环境提供支撑。</w:t>
      </w:r>
    </w:p>
    <w:p w14:paraId="40EA0A4C">
      <w:pPr>
        <w:pStyle w:val="7"/>
        <w:bidi w:val="0"/>
        <w:rPr>
          <w:rFonts w:hint="default" w:ascii="黑体" w:hAnsi="黑体" w:eastAsia="黑体" w:cs="黑体"/>
          <w:color w:val="auto"/>
          <w:sz w:val="32"/>
          <w:szCs w:val="32"/>
          <w:lang w:val="en-US" w:eastAsia="zh-CN"/>
        </w:rPr>
      </w:pPr>
      <w:bookmarkStart w:id="179" w:name="_Toc13030"/>
      <w:bookmarkStart w:id="180" w:name="_Toc28182"/>
      <w:bookmarkStart w:id="181" w:name="_Toc32375"/>
      <w:bookmarkStart w:id="182" w:name="_Toc32501"/>
      <w:bookmarkStart w:id="183" w:name="_Toc66042925"/>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监管制度</w:t>
      </w:r>
      <w:bookmarkEnd w:id="179"/>
      <w:r>
        <w:rPr>
          <w:rFonts w:hint="default" w:ascii="黑体" w:hAnsi="黑体" w:eastAsia="黑体" w:cs="黑体"/>
          <w:color w:val="auto"/>
          <w:sz w:val="32"/>
          <w:szCs w:val="32"/>
          <w:lang w:val="en-US" w:eastAsia="zh-CN"/>
        </w:rPr>
        <w:t>建设</w:t>
      </w:r>
      <w:bookmarkEnd w:id="180"/>
      <w:bookmarkEnd w:id="181"/>
    </w:p>
    <w:p w14:paraId="0B790076">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以问题为导向，系统梳理现有监管制度，不断健全细化“查、认、改、罚”各环节的制度，推进水土保持监管制度化、规范化</w:t>
      </w:r>
      <w:r>
        <w:rPr>
          <w:rFonts w:hint="eastAsia" w:ascii="Times New Roman" w:hAnsi="Times New Roman" w:eastAsia="宋体" w:cs="Times New Roman"/>
          <w:snapToGrid w:val="0"/>
          <w:color w:val="auto"/>
          <w:sz w:val="28"/>
          <w:szCs w:val="28"/>
          <w:lang w:eastAsia="zh-CN"/>
        </w:rPr>
        <w:t>、信息化</w:t>
      </w:r>
      <w:r>
        <w:rPr>
          <w:rFonts w:hint="default" w:ascii="Times New Roman" w:hAnsi="Times New Roman" w:eastAsia="宋体" w:cs="Times New Roman"/>
          <w:snapToGrid w:val="0"/>
          <w:color w:val="auto"/>
          <w:sz w:val="28"/>
          <w:szCs w:val="28"/>
        </w:rPr>
        <w:t>，为监管提供</w:t>
      </w:r>
      <w:r>
        <w:rPr>
          <w:rFonts w:hint="default" w:ascii="Times New Roman" w:hAnsi="Times New Roman" w:cs="Times New Roman"/>
          <w:snapToGrid w:val="0"/>
          <w:color w:val="auto"/>
          <w:sz w:val="28"/>
          <w:szCs w:val="28"/>
          <w:lang w:eastAsia="zh-CN"/>
        </w:rPr>
        <w:t>有力</w:t>
      </w:r>
      <w:r>
        <w:rPr>
          <w:rFonts w:hint="default" w:ascii="Times New Roman" w:hAnsi="Times New Roman" w:eastAsia="宋体" w:cs="Times New Roman"/>
          <w:snapToGrid w:val="0"/>
          <w:color w:val="auto"/>
          <w:sz w:val="28"/>
          <w:szCs w:val="28"/>
        </w:rPr>
        <w:t>保障。</w:t>
      </w:r>
    </w:p>
    <w:p w14:paraId="130602EC">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84" w:name="_Toc30972"/>
      <w:bookmarkStart w:id="185" w:name="_Toc82610968"/>
      <w:r>
        <w:rPr>
          <w:rFonts w:hint="eastAsia" w:ascii="Times New Roman" w:hAnsi="Times New Roman" w:eastAsia="楷体_GB2312" w:cs="Times New Roman"/>
          <w:b/>
          <w:bCs w:val="0"/>
          <w:snapToGrid w:val="0"/>
          <w:color w:val="auto"/>
          <w:kern w:val="2"/>
          <w:sz w:val="30"/>
          <w:szCs w:val="30"/>
          <w:lang w:val="en-US" w:eastAsia="zh-CN" w:bidi="ar-SA"/>
        </w:rPr>
        <w:t>（一）</w:t>
      </w:r>
      <w:r>
        <w:rPr>
          <w:rFonts w:hint="default" w:ascii="Times New Roman" w:hAnsi="Times New Roman" w:eastAsia="楷体_GB2312" w:cs="Times New Roman"/>
          <w:b/>
          <w:bCs w:val="0"/>
          <w:snapToGrid w:val="0"/>
          <w:color w:val="auto"/>
          <w:kern w:val="2"/>
          <w:sz w:val="30"/>
          <w:szCs w:val="30"/>
          <w:lang w:val="en-US" w:eastAsia="zh-CN" w:bidi="ar-SA"/>
        </w:rPr>
        <w:t>健全水土保持监管制度和规则</w:t>
      </w:r>
      <w:bookmarkEnd w:id="184"/>
    </w:p>
    <w:p w14:paraId="249B8C25">
      <w:pPr>
        <w:ind w:firstLine="549"/>
        <w:rPr>
          <w:rFonts w:hint="default" w:ascii="Times New Roman" w:hAnsi="Times New Roman" w:eastAsia="宋体" w:cs="Times New Roman"/>
          <w:snapToGrid w:val="0"/>
          <w:color w:val="auto"/>
          <w:sz w:val="28"/>
          <w:szCs w:val="28"/>
          <w:lang w:eastAsia="zh-CN"/>
        </w:rPr>
      </w:pPr>
      <w:r>
        <w:rPr>
          <w:rFonts w:hint="default" w:ascii="Times New Roman" w:hAnsi="Times New Roman" w:eastAsia="宋体" w:cs="Times New Roman"/>
          <w:snapToGrid w:val="0"/>
          <w:color w:val="auto"/>
          <w:sz w:val="28"/>
          <w:szCs w:val="28"/>
          <w:lang w:eastAsia="zh-CN"/>
        </w:rPr>
        <w:t>认真落实</w:t>
      </w:r>
      <w:r>
        <w:rPr>
          <w:rFonts w:hint="eastAsia" w:ascii="Times New Roman" w:hAnsi="Times New Roman" w:eastAsia="宋体" w:cs="Times New Roman"/>
          <w:snapToGrid w:val="0"/>
          <w:color w:val="auto"/>
          <w:sz w:val="28"/>
          <w:szCs w:val="28"/>
          <w:lang w:eastAsia="zh-CN"/>
        </w:rPr>
        <w:t>中央及</w:t>
      </w:r>
      <w:r>
        <w:rPr>
          <w:rFonts w:hint="default" w:ascii="Times New Roman" w:hAnsi="Times New Roman" w:cs="Times New Roman"/>
          <w:snapToGrid w:val="0"/>
          <w:color w:val="auto"/>
          <w:sz w:val="28"/>
          <w:szCs w:val="28"/>
          <w:lang w:eastAsia="zh-CN"/>
        </w:rPr>
        <w:t>省委省政府</w:t>
      </w:r>
      <w:r>
        <w:rPr>
          <w:rFonts w:hint="default" w:ascii="Times New Roman" w:hAnsi="Times New Roman" w:eastAsia="宋体" w:cs="Times New Roman"/>
          <w:snapToGrid w:val="0"/>
          <w:color w:val="auto"/>
          <w:sz w:val="28"/>
          <w:szCs w:val="28"/>
          <w:lang w:eastAsia="zh-CN"/>
        </w:rPr>
        <w:t>关于生态文明建设的决策部署和《水土保持法》要求，做好“立改废释”，加强系统集成，加快健全系统完备、务实管用、上下协同、统分结合的水土保持监管制度体系。修订</w:t>
      </w:r>
      <w:r>
        <w:rPr>
          <w:rFonts w:hint="eastAsia" w:ascii="Times New Roman" w:hAnsi="Times New Roman" w:eastAsia="宋体" w:cs="Times New Roman"/>
          <w:snapToGrid w:val="0"/>
          <w:color w:val="auto"/>
          <w:sz w:val="28"/>
          <w:szCs w:val="28"/>
          <w:lang w:eastAsia="zh-CN"/>
        </w:rPr>
        <w:t>水土保持相关的</w:t>
      </w:r>
      <w:r>
        <w:rPr>
          <w:rFonts w:hint="default" w:ascii="Times New Roman" w:hAnsi="Times New Roman" w:eastAsia="宋体" w:cs="Times New Roman"/>
          <w:snapToGrid w:val="0"/>
          <w:color w:val="auto"/>
          <w:sz w:val="28"/>
          <w:szCs w:val="28"/>
          <w:lang w:eastAsia="zh-CN"/>
        </w:rPr>
        <w:t>监管制度</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eastAsia="zh-CN"/>
        </w:rPr>
        <w:t>建立农林开发等其他生产建设活动监管制度，推进水土保持监管标准体系建设。制定铁路、公路、输变电</w:t>
      </w:r>
      <w:r>
        <w:rPr>
          <w:rFonts w:hint="default" w:ascii="Times New Roman" w:hAnsi="Times New Roman" w:cs="Times New Roman"/>
          <w:snapToGrid w:val="0"/>
          <w:color w:val="auto"/>
          <w:sz w:val="28"/>
          <w:szCs w:val="28"/>
          <w:lang w:eastAsia="zh-CN"/>
        </w:rPr>
        <w:t>、煤矿</w:t>
      </w:r>
      <w:r>
        <w:rPr>
          <w:rFonts w:hint="default" w:ascii="Times New Roman" w:hAnsi="Times New Roman" w:eastAsia="宋体" w:cs="Times New Roman"/>
          <w:snapToGrid w:val="0"/>
          <w:color w:val="auto"/>
          <w:sz w:val="28"/>
          <w:szCs w:val="28"/>
          <w:lang w:eastAsia="zh-CN"/>
        </w:rPr>
        <w:t>等行业水土保持监管规则，分类细化监管内容、标准、方式，提高监管规范化水平。健全水土保持监管权责清单。探索建立水土保持监管尽职免责、失职问责制度。</w:t>
      </w:r>
    </w:p>
    <w:p w14:paraId="2320BDDB">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86" w:name="_Toc13732"/>
      <w:r>
        <w:rPr>
          <w:rFonts w:hint="eastAsia" w:ascii="Times New Roman" w:hAnsi="Times New Roman" w:eastAsia="楷体_GB2312" w:cs="Times New Roman"/>
          <w:b/>
          <w:bCs w:val="0"/>
          <w:snapToGrid w:val="0"/>
          <w:color w:val="auto"/>
          <w:kern w:val="2"/>
          <w:sz w:val="30"/>
          <w:szCs w:val="30"/>
          <w:lang w:val="en-US" w:eastAsia="zh-CN" w:bidi="ar-SA"/>
        </w:rPr>
        <w:t>（二）</w:t>
      </w:r>
      <w:r>
        <w:rPr>
          <w:rFonts w:hint="default" w:ascii="Times New Roman" w:hAnsi="Times New Roman" w:eastAsia="楷体_GB2312" w:cs="Times New Roman"/>
          <w:b/>
          <w:bCs w:val="0"/>
          <w:snapToGrid w:val="0"/>
          <w:color w:val="auto"/>
          <w:kern w:val="2"/>
          <w:sz w:val="30"/>
          <w:szCs w:val="30"/>
          <w:lang w:val="en-US" w:eastAsia="zh-CN" w:bidi="ar-SA"/>
        </w:rPr>
        <w:t>完善水土保持预防监管制度体系</w:t>
      </w:r>
      <w:bookmarkEnd w:id="185"/>
      <w:bookmarkEnd w:id="186"/>
    </w:p>
    <w:p w14:paraId="2C966C57">
      <w:pPr>
        <w:ind w:firstLine="549"/>
        <w:rPr>
          <w:rFonts w:hint="default" w:ascii="Times New Roman" w:hAnsi="Times New Roman" w:eastAsia="宋体" w:cs="Times New Roman"/>
          <w:snapToGrid w:val="0"/>
          <w:color w:val="auto"/>
          <w:sz w:val="28"/>
          <w:szCs w:val="28"/>
        </w:rPr>
      </w:pPr>
      <w:bookmarkStart w:id="187" w:name="_Toc19345"/>
      <w:r>
        <w:rPr>
          <w:rFonts w:hint="default" w:ascii="Times New Roman" w:hAnsi="Times New Roman" w:eastAsia="宋体" w:cs="Times New Roman"/>
          <w:snapToGrid w:val="0"/>
          <w:color w:val="auto"/>
          <w:sz w:val="28"/>
          <w:szCs w:val="28"/>
        </w:rPr>
        <w:t>探索建立水土保持生态空间管控制度。依托国土空间规划，重点针对水土流失重点预防区、水土保持和水土流失生态保护红线、永久基本农田、农业生态生产生活空间等不同区域</w:t>
      </w:r>
      <w:r>
        <w:rPr>
          <w:rFonts w:hint="eastAsia" w:ascii="Times New Roman" w:hAnsi="Times New Roman" w:eastAsia="宋体" w:cs="Times New Roman"/>
          <w:snapToGrid w:val="0"/>
          <w:color w:val="auto"/>
          <w:sz w:val="28"/>
          <w:szCs w:val="28"/>
          <w:lang w:val="en-US" w:eastAsia="zh-CN"/>
        </w:rPr>
        <w:t>的</w:t>
      </w:r>
      <w:r>
        <w:rPr>
          <w:rFonts w:hint="default" w:ascii="Times New Roman" w:hAnsi="Times New Roman" w:eastAsia="宋体" w:cs="Times New Roman"/>
          <w:snapToGrid w:val="0"/>
          <w:color w:val="auto"/>
          <w:sz w:val="28"/>
          <w:szCs w:val="28"/>
        </w:rPr>
        <w:t>水土保持功能和国土空间生态管控要求，以小流域为单元开展水土保持生态功能综合评价，探索建立水土保持生态空间管控制度，严格落实预防保护及管控措施，减少人为活动对植被和水土保持设施的破坏，促进生态自然修复，为推动形成预防为主、防治结合、全面监管的有效治理体系提供支撑。</w:t>
      </w:r>
    </w:p>
    <w:p w14:paraId="7CD499ED">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完善责任追究制度。完善水土保持权责清单，明确审批、监督检查、行政执法等权责事项和履责方式。对生产建设中发生的水土流失问题，依法依规严肃追究生产建设、技术服务、施工等相关单位和个人的责任，加大处罚力度，依法严格查处违法违规行为。对审批、监督检查、执法工作中存在的缺位、越位、不到位的，问题严重的依法依规严肃追究相关单位和人员的责任。</w:t>
      </w:r>
    </w:p>
    <w:p w14:paraId="083F1DC0">
      <w:pPr>
        <w:ind w:firstLine="549"/>
        <w:rPr>
          <w:rFonts w:hint="default" w:ascii="Times New Roman" w:hAnsi="Times New Roman" w:eastAsia="宋体" w:cs="Times New Roman"/>
          <w:snapToGrid w:val="0"/>
          <w:color w:val="auto"/>
          <w:sz w:val="28"/>
          <w:szCs w:val="28"/>
        </w:rPr>
      </w:pPr>
      <w:r>
        <w:rPr>
          <w:rFonts w:hint="eastAsia" w:ascii="Times New Roman" w:hAnsi="Times New Roman" w:eastAsia="宋体" w:cs="Times New Roman"/>
          <w:snapToGrid w:val="0"/>
          <w:color w:val="auto"/>
          <w:sz w:val="28"/>
          <w:szCs w:val="28"/>
          <w:lang w:val="en-US" w:eastAsia="zh-CN"/>
        </w:rPr>
        <w:t>落实</w:t>
      </w:r>
      <w:r>
        <w:rPr>
          <w:rFonts w:hint="default" w:ascii="Times New Roman" w:hAnsi="Times New Roman" w:eastAsia="宋体" w:cs="Times New Roman"/>
          <w:snapToGrid w:val="0"/>
          <w:color w:val="auto"/>
          <w:sz w:val="28"/>
          <w:szCs w:val="28"/>
        </w:rPr>
        <w:t>水土保持目标责任制考核</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不断完善各级人民政府水土保持目标责任考核制度，强化考核结果应用，形成对水土保持工作的指挥棒。</w:t>
      </w:r>
      <w:r>
        <w:rPr>
          <w:rFonts w:hint="default" w:ascii="Times New Roman" w:hAnsi="Times New Roman" w:cs="Times New Roman"/>
          <w:snapToGrid w:val="0"/>
          <w:color w:val="auto"/>
          <w:sz w:val="28"/>
          <w:szCs w:val="28"/>
          <w:lang w:eastAsia="zh-CN"/>
        </w:rPr>
        <w:t>主要以</w:t>
      </w:r>
      <w:r>
        <w:rPr>
          <w:rFonts w:hint="default" w:ascii="Times New Roman" w:hAnsi="Times New Roman" w:eastAsia="宋体" w:cs="Times New Roman"/>
          <w:snapToGrid w:val="0"/>
          <w:color w:val="auto"/>
          <w:sz w:val="28"/>
          <w:szCs w:val="28"/>
        </w:rPr>
        <w:t>省、市、县三级建立</w:t>
      </w:r>
      <w:r>
        <w:rPr>
          <w:rFonts w:hint="default" w:ascii="Times New Roman" w:hAnsi="Times New Roman" w:eastAsia="宋体" w:cs="Times New Roman"/>
          <w:snapToGrid w:val="0"/>
          <w:color w:val="auto"/>
          <w:sz w:val="28"/>
          <w:szCs w:val="28"/>
          <w:lang w:val="en-US" w:eastAsia="zh-CN"/>
        </w:rPr>
        <w:t>上下衔接的</w:t>
      </w:r>
      <w:r>
        <w:rPr>
          <w:rFonts w:hint="default" w:ascii="Times New Roman" w:hAnsi="Times New Roman" w:eastAsia="宋体" w:cs="Times New Roman"/>
          <w:snapToGrid w:val="0"/>
          <w:color w:val="auto"/>
          <w:sz w:val="28"/>
          <w:szCs w:val="28"/>
        </w:rPr>
        <w:t>水土保持规划体系，明确各地区中长期的水土流失治理目标任务，强化规划引领</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有效保障</w:t>
      </w:r>
      <w:r>
        <w:rPr>
          <w:rFonts w:hint="default" w:ascii="Times New Roman" w:hAnsi="Times New Roman" w:cs="Times New Roman"/>
          <w:snapToGrid w:val="0"/>
          <w:color w:val="auto"/>
          <w:sz w:val="28"/>
          <w:szCs w:val="28"/>
          <w:lang w:eastAsia="zh-CN"/>
        </w:rPr>
        <w:t>规划目标及</w:t>
      </w:r>
      <w:r>
        <w:rPr>
          <w:rFonts w:hint="default" w:ascii="Times New Roman" w:hAnsi="Times New Roman" w:eastAsia="宋体" w:cs="Times New Roman"/>
          <w:snapToGrid w:val="0"/>
          <w:color w:val="auto"/>
          <w:sz w:val="28"/>
          <w:szCs w:val="28"/>
        </w:rPr>
        <w:t>水土保持率指标</w:t>
      </w:r>
      <w:r>
        <w:rPr>
          <w:rFonts w:hint="default" w:ascii="Times New Roman" w:hAnsi="Times New Roman" w:eastAsia="宋体" w:cs="Times New Roman"/>
          <w:snapToGrid w:val="0"/>
          <w:color w:val="auto"/>
          <w:sz w:val="28"/>
          <w:szCs w:val="28"/>
          <w:lang w:eastAsia="zh-CN"/>
        </w:rPr>
        <w:t>的实现</w:t>
      </w:r>
      <w:r>
        <w:rPr>
          <w:rFonts w:hint="default" w:ascii="Times New Roman" w:hAnsi="Times New Roman" w:eastAsia="宋体" w:cs="Times New Roman"/>
          <w:snapToGrid w:val="0"/>
          <w:color w:val="auto"/>
          <w:sz w:val="28"/>
          <w:szCs w:val="28"/>
        </w:rPr>
        <w:t>。</w:t>
      </w:r>
    </w:p>
    <w:bookmarkEnd w:id="187"/>
    <w:p w14:paraId="085A8FD3">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88" w:name="_Toc82610969"/>
      <w:bookmarkStart w:id="189" w:name="_Toc29526"/>
      <w:bookmarkStart w:id="190" w:name="_Toc25741"/>
      <w:r>
        <w:rPr>
          <w:rFonts w:hint="eastAsia" w:ascii="Times New Roman" w:hAnsi="Times New Roman" w:eastAsia="楷体_GB2312" w:cs="Times New Roman"/>
          <w:b/>
          <w:bCs w:val="0"/>
          <w:snapToGrid w:val="0"/>
          <w:color w:val="auto"/>
          <w:kern w:val="2"/>
          <w:sz w:val="30"/>
          <w:szCs w:val="30"/>
          <w:lang w:val="en-US" w:eastAsia="zh-CN" w:bidi="ar-SA"/>
        </w:rPr>
        <w:t>（三）</w:t>
      </w:r>
      <w:r>
        <w:rPr>
          <w:rFonts w:hint="default" w:ascii="Times New Roman" w:hAnsi="Times New Roman" w:eastAsia="楷体_GB2312" w:cs="Times New Roman"/>
          <w:b/>
          <w:bCs w:val="0"/>
          <w:snapToGrid w:val="0"/>
          <w:color w:val="auto"/>
          <w:kern w:val="2"/>
          <w:sz w:val="30"/>
          <w:szCs w:val="30"/>
          <w:lang w:val="en-US" w:eastAsia="zh-CN" w:bidi="ar-SA"/>
        </w:rPr>
        <w:t>实施人为水土流失常态化监管</w:t>
      </w:r>
      <w:bookmarkEnd w:id="188"/>
      <w:bookmarkEnd w:id="189"/>
      <w:r>
        <w:rPr>
          <w:rFonts w:hint="default" w:ascii="Times New Roman" w:hAnsi="Times New Roman" w:eastAsia="楷体_GB2312" w:cs="Times New Roman"/>
          <w:b/>
          <w:bCs w:val="0"/>
          <w:snapToGrid w:val="0"/>
          <w:color w:val="auto"/>
          <w:kern w:val="2"/>
          <w:sz w:val="30"/>
          <w:szCs w:val="30"/>
          <w:lang w:val="en-US" w:eastAsia="zh-CN" w:bidi="ar-SA"/>
        </w:rPr>
        <w:t>制度</w:t>
      </w:r>
      <w:bookmarkEnd w:id="190"/>
    </w:p>
    <w:p w14:paraId="57EA66A8">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 xml:space="preserve">聚焦“发现问题、认定问题、查处问题”三个要素，突出事前、事中、事后重要节点，充分依托信息化、智能化监管手段，建立系统完整、职责明确、严格高效、规范有序的监管体系，推进人为水土流失常态化、高效化监管。 </w:t>
      </w:r>
    </w:p>
    <w:p w14:paraId="27B6B44C">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实施人为水土流失遥感全覆盖动态监管。充分运用卫星遥感、无人机、移动终端等信息技术手段，及时、全面摸清全</w:t>
      </w:r>
      <w:r>
        <w:rPr>
          <w:rFonts w:hint="default" w:ascii="Times New Roman" w:hAnsi="Times New Roman" w:eastAsia="宋体" w:cs="Times New Roman"/>
          <w:snapToGrid w:val="0"/>
          <w:color w:val="auto"/>
          <w:sz w:val="28"/>
          <w:szCs w:val="28"/>
          <w:lang w:eastAsia="zh-CN"/>
        </w:rPr>
        <w:t>省</w:t>
      </w:r>
      <w:r>
        <w:rPr>
          <w:rFonts w:hint="default" w:ascii="Times New Roman" w:hAnsi="Times New Roman" w:eastAsia="宋体" w:cs="Times New Roman"/>
          <w:snapToGrid w:val="0"/>
          <w:color w:val="auto"/>
          <w:sz w:val="28"/>
          <w:szCs w:val="28"/>
        </w:rPr>
        <w:t>人为水土流失动态情况。逐步加大遥感全覆盖监管频次，通过卫星遥感解译及时精准发现人为扰动水土流失违法违规行为，形成责权分明、精准发力、动态管控的监管</w:t>
      </w:r>
      <w:r>
        <w:rPr>
          <w:rFonts w:hint="default" w:ascii="Times New Roman" w:hAnsi="Times New Roman" w:eastAsia="宋体" w:cs="Times New Roman"/>
          <w:snapToGrid w:val="0"/>
          <w:color w:val="auto"/>
          <w:sz w:val="28"/>
          <w:szCs w:val="28"/>
          <w:lang w:eastAsia="zh-CN"/>
        </w:rPr>
        <w:t>制度</w:t>
      </w:r>
      <w:r>
        <w:rPr>
          <w:rFonts w:hint="default" w:ascii="Times New Roman" w:hAnsi="Times New Roman" w:eastAsia="宋体" w:cs="Times New Roman"/>
          <w:snapToGrid w:val="0"/>
          <w:color w:val="auto"/>
          <w:sz w:val="28"/>
          <w:szCs w:val="28"/>
        </w:rPr>
        <w:t>。对核查认定的违法违规行为建立台账，依法查处，逐一销号。</w:t>
      </w:r>
    </w:p>
    <w:p w14:paraId="07F46D12">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严格生产建设项目水土保持方案行政许可。深化“放管服”改革，进一步优化水土保持方案内容</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行政审批流程、审批方式，压缩审批时间。落实各类开发区水土保持区域</w:t>
      </w:r>
      <w:r>
        <w:rPr>
          <w:rFonts w:hint="eastAsia" w:ascii="Times New Roman" w:hAnsi="Times New Roman" w:eastAsia="宋体" w:cs="Times New Roman"/>
          <w:snapToGrid w:val="0"/>
          <w:color w:val="auto"/>
          <w:sz w:val="28"/>
          <w:szCs w:val="28"/>
          <w:lang w:val="en-US" w:eastAsia="zh-CN"/>
        </w:rPr>
        <w:t>评估</w:t>
      </w:r>
      <w:r>
        <w:rPr>
          <w:rFonts w:hint="default" w:ascii="Times New Roman" w:hAnsi="Times New Roman" w:eastAsia="宋体" w:cs="Times New Roman"/>
          <w:snapToGrid w:val="0"/>
          <w:color w:val="auto"/>
          <w:sz w:val="28"/>
          <w:szCs w:val="28"/>
        </w:rPr>
        <w:t>制度，积极推行承诺制和备案制</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推行</w:t>
      </w:r>
      <w:r>
        <w:rPr>
          <w:rFonts w:hint="default" w:ascii="Times New Roman" w:hAnsi="Times New Roman" w:eastAsia="宋体" w:cs="Times New Roman"/>
          <w:snapToGrid w:val="0"/>
          <w:color w:val="auto"/>
          <w:sz w:val="28"/>
          <w:szCs w:val="28"/>
        </w:rPr>
        <w:t>“不见面审批”、项目分类审查审批等新形式，严格规范和加强审查审批行为，严守水土保持生态红线。建立水土保持方案抽查复核</w:t>
      </w:r>
      <w:r>
        <w:rPr>
          <w:rFonts w:hint="default" w:ascii="Times New Roman" w:hAnsi="Times New Roman" w:eastAsia="宋体" w:cs="Times New Roman"/>
          <w:snapToGrid w:val="0"/>
          <w:color w:val="auto"/>
          <w:sz w:val="28"/>
          <w:szCs w:val="28"/>
          <w:lang w:eastAsia="zh-CN"/>
        </w:rPr>
        <w:t>制度</w:t>
      </w:r>
      <w:r>
        <w:rPr>
          <w:rFonts w:hint="default" w:ascii="Times New Roman" w:hAnsi="Times New Roman" w:eastAsia="宋体" w:cs="Times New Roman"/>
          <w:snapToGrid w:val="0"/>
          <w:color w:val="auto"/>
          <w:sz w:val="28"/>
          <w:szCs w:val="28"/>
        </w:rPr>
        <w:t>，提升水土保持方案质量。进一步落实基础设施、资源开发等相关规划征求水土保持意见制度，督促指导相关行业和部门科学规划项目建设布局，促进水土资源节约高效利用和绿色低碳发展。</w:t>
      </w:r>
    </w:p>
    <w:p w14:paraId="1F574F02">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加强生产建设项目水土保持事中事后监管</w:t>
      </w:r>
      <w:r>
        <w:rPr>
          <w:rFonts w:hint="eastAsia" w:ascii="Times New Roman" w:hAnsi="Times New Roman" w:eastAsia="宋体" w:cs="Times New Roman"/>
          <w:snapToGrid w:val="0"/>
          <w:color w:val="auto"/>
          <w:sz w:val="28"/>
          <w:szCs w:val="28"/>
          <w:lang w:val="en-US" w:eastAsia="zh-CN"/>
        </w:rPr>
        <w:t>制度</w:t>
      </w:r>
      <w:r>
        <w:rPr>
          <w:rFonts w:hint="default" w:ascii="Times New Roman" w:hAnsi="Times New Roman" w:eastAsia="宋体" w:cs="Times New Roman"/>
          <w:snapToGrid w:val="0"/>
          <w:color w:val="auto"/>
          <w:sz w:val="28"/>
          <w:szCs w:val="28"/>
        </w:rPr>
        <w:t>，及时发现生产建设项目水土保持违法违规行为。通过遥感检查、“互联网+”以及采取“双随机</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一公开”的现场检查等多种方式，加强生产建设项目水土保持责任落实跟踪检查。推行以远程监管、视频监管、预警防控为特征的非现场监管，提升水土保持监管精准化、智能化水平，防范人为水土流失风险隐患。加强对生产建设项目水土保持监测管理</w:t>
      </w:r>
      <w:r>
        <w:rPr>
          <w:rFonts w:hint="default" w:ascii="Times New Roman" w:hAnsi="Times New Roman" w:eastAsia="宋体" w:cs="Times New Roman"/>
          <w:snapToGrid w:val="0"/>
          <w:color w:val="auto"/>
          <w:sz w:val="28"/>
          <w:szCs w:val="28"/>
          <w:lang w:eastAsia="zh-CN"/>
        </w:rPr>
        <w:t>制度</w:t>
      </w:r>
      <w:r>
        <w:rPr>
          <w:rFonts w:hint="default" w:ascii="Times New Roman" w:hAnsi="Times New Roman" w:eastAsia="宋体" w:cs="Times New Roman"/>
          <w:snapToGrid w:val="0"/>
          <w:color w:val="auto"/>
          <w:sz w:val="28"/>
          <w:szCs w:val="28"/>
        </w:rPr>
        <w:t>，严格落实“绿黄红”三色评价制度。加大对生产建设项目水土保持设施自主验收事后核查力度。</w:t>
      </w:r>
    </w:p>
    <w:p w14:paraId="3B003FCE">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加强生产建设活动水土保持监管。加强农林开发、土地整理、农村道路建设、乡村建设行动等活动的水土保持监管。积极探索推进农业农村人为生产活动水土保持监管的模式和方法，加大宣传督导，防止大规模农林开发和农村生产活动产生的水土流失。对违法陡坡开垦、取土挖砂采石等可能造成水土流失的活动，依法开展监管和处罚，实现人为水土流失的全面监管。</w:t>
      </w:r>
    </w:p>
    <w:p w14:paraId="0F6DDF70">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依法严格查处水土保持违法违规行为。强化监管制度落实，进一步规范水土保持监督检查行为，统一监管流程和标准，提升监管水平。建立完善监管与执法、执法与司法有效衔接制度，加强多部门联动执法，对监管发现的违法违规问题依法严格进行查处，并建立台账，实施对账销号、闭环管理。对重大违法违规案件挂牌督办、严肃查处，形成震慑。</w:t>
      </w:r>
      <w:r>
        <w:rPr>
          <w:rFonts w:hint="default" w:ascii="Times New Roman" w:hAnsi="Times New Roman" w:cs="Times New Roman"/>
          <w:snapToGrid w:val="0"/>
          <w:color w:val="auto"/>
          <w:sz w:val="28"/>
          <w:szCs w:val="28"/>
          <w:lang w:val="en-US" w:eastAsia="zh-CN"/>
        </w:rPr>
        <w:t>注重运用说服教育、约谈警示等非强制性执法方式，让监督执法既有力度又有温度，做到宽严相济、法理相融。</w:t>
      </w:r>
      <w:r>
        <w:rPr>
          <w:rFonts w:hint="default" w:ascii="Times New Roman" w:hAnsi="Times New Roman" w:eastAsia="宋体" w:cs="Times New Roman"/>
          <w:snapToGrid w:val="0"/>
          <w:color w:val="auto"/>
          <w:sz w:val="28"/>
          <w:szCs w:val="28"/>
        </w:rPr>
        <w:t>推进严格规范公正文明执法，加大对严重违法违规行为的曝光力度，定期公布水土保持行政执法典型案例，以案说法、以案释法。</w:t>
      </w:r>
    </w:p>
    <w:p w14:paraId="750325B9">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91" w:name="_Toc82610970"/>
      <w:bookmarkStart w:id="192" w:name="_Toc404"/>
      <w:bookmarkStart w:id="193" w:name="_Toc29280"/>
      <w:r>
        <w:rPr>
          <w:rFonts w:hint="eastAsia" w:ascii="Times New Roman" w:hAnsi="Times New Roman" w:eastAsia="楷体_GB2312" w:cs="Times New Roman"/>
          <w:b/>
          <w:bCs w:val="0"/>
          <w:snapToGrid w:val="0"/>
          <w:color w:val="auto"/>
          <w:kern w:val="2"/>
          <w:sz w:val="30"/>
          <w:szCs w:val="30"/>
          <w:lang w:val="en-US" w:eastAsia="zh-CN" w:bidi="ar-SA"/>
        </w:rPr>
        <w:t>（四）</w:t>
      </w:r>
      <w:r>
        <w:rPr>
          <w:rFonts w:hint="default" w:ascii="Times New Roman" w:hAnsi="Times New Roman" w:eastAsia="楷体_GB2312" w:cs="Times New Roman"/>
          <w:b/>
          <w:bCs w:val="0"/>
          <w:snapToGrid w:val="0"/>
          <w:color w:val="auto"/>
          <w:kern w:val="2"/>
          <w:sz w:val="30"/>
          <w:szCs w:val="30"/>
          <w:lang w:val="en-US" w:eastAsia="zh-CN" w:bidi="ar-SA"/>
        </w:rPr>
        <w:t>全面推进水土保持信用监管</w:t>
      </w:r>
      <w:bookmarkEnd w:id="191"/>
      <w:bookmarkEnd w:id="192"/>
      <w:r>
        <w:rPr>
          <w:rFonts w:hint="default" w:ascii="Times New Roman" w:hAnsi="Times New Roman" w:eastAsia="楷体_GB2312" w:cs="Times New Roman"/>
          <w:b/>
          <w:bCs w:val="0"/>
          <w:snapToGrid w:val="0"/>
          <w:color w:val="auto"/>
          <w:kern w:val="2"/>
          <w:sz w:val="30"/>
          <w:szCs w:val="30"/>
          <w:lang w:val="en-US" w:eastAsia="zh-CN" w:bidi="ar-SA"/>
        </w:rPr>
        <w:t>制度</w:t>
      </w:r>
      <w:bookmarkEnd w:id="193"/>
    </w:p>
    <w:p w14:paraId="5BB7FB86">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进一步优化和规范生产建设项目水土保持信用监管程序和标准，</w:t>
      </w:r>
      <w:r>
        <w:rPr>
          <w:rFonts w:hint="default" w:ascii="Times New Roman" w:hAnsi="Times New Roman" w:eastAsia="宋体" w:cs="Times New Roman"/>
          <w:snapToGrid w:val="0"/>
          <w:color w:val="auto"/>
          <w:sz w:val="28"/>
          <w:szCs w:val="28"/>
          <w:lang w:val="en-US" w:eastAsia="zh-CN"/>
        </w:rPr>
        <w:t>探索开展水土保持技术服务单位和人员信用信息管理，</w:t>
      </w:r>
      <w:r>
        <w:rPr>
          <w:rFonts w:hint="default" w:ascii="Times New Roman" w:hAnsi="Times New Roman" w:eastAsia="宋体" w:cs="Times New Roman"/>
          <w:snapToGrid w:val="0"/>
          <w:color w:val="auto"/>
          <w:sz w:val="28"/>
          <w:szCs w:val="28"/>
        </w:rPr>
        <w:t>完善守信激励、失信惩戒措施，深化部门间信用信息共享，推动联合惩戒。</w:t>
      </w:r>
    </w:p>
    <w:p w14:paraId="42C1C098">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94" w:name="_Toc23981"/>
      <w:r>
        <w:rPr>
          <w:rFonts w:hint="eastAsia" w:ascii="Times New Roman" w:hAnsi="Times New Roman" w:eastAsia="楷体_GB2312" w:cs="Times New Roman"/>
          <w:b/>
          <w:bCs w:val="0"/>
          <w:snapToGrid w:val="0"/>
          <w:color w:val="auto"/>
          <w:kern w:val="2"/>
          <w:sz w:val="30"/>
          <w:szCs w:val="30"/>
          <w:lang w:val="en-US" w:eastAsia="zh-CN" w:bidi="ar-SA"/>
        </w:rPr>
        <w:t>（五）</w:t>
      </w:r>
      <w:r>
        <w:rPr>
          <w:rFonts w:hint="default" w:ascii="Times New Roman" w:hAnsi="Times New Roman" w:eastAsia="楷体_GB2312" w:cs="Times New Roman"/>
          <w:b/>
          <w:bCs w:val="0"/>
          <w:snapToGrid w:val="0"/>
          <w:color w:val="auto"/>
          <w:kern w:val="2"/>
          <w:sz w:val="30"/>
          <w:szCs w:val="30"/>
          <w:lang w:val="en-US" w:eastAsia="zh-CN" w:bidi="ar-SA"/>
        </w:rPr>
        <w:t>完善水土保持监测管理制度</w:t>
      </w:r>
      <w:bookmarkEnd w:id="194"/>
    </w:p>
    <w:p w14:paraId="1D5DCC86">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完善生产建设项目水土流失监测成果定期上报制度和成果应用制度，督促指导生产建设单位依法落实水土保持监测主体责任和其他有关任务要求。开展大中型生产建设项目水土流失监测监督和评判制度建设。探索建立园区水土保持监测制度。</w:t>
      </w:r>
    </w:p>
    <w:p w14:paraId="528F8637">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95" w:name="_Toc28712"/>
      <w:r>
        <w:rPr>
          <w:rFonts w:hint="eastAsia" w:ascii="Times New Roman" w:hAnsi="Times New Roman" w:eastAsia="楷体_GB2312" w:cs="Times New Roman"/>
          <w:b/>
          <w:bCs w:val="0"/>
          <w:snapToGrid w:val="0"/>
          <w:color w:val="auto"/>
          <w:kern w:val="2"/>
          <w:sz w:val="30"/>
          <w:szCs w:val="30"/>
          <w:lang w:val="en-US" w:eastAsia="zh-CN" w:bidi="ar-SA"/>
        </w:rPr>
        <w:t>（六）</w:t>
      </w:r>
      <w:r>
        <w:rPr>
          <w:rFonts w:hint="default" w:ascii="Times New Roman" w:hAnsi="Times New Roman" w:eastAsia="楷体_GB2312" w:cs="Times New Roman"/>
          <w:b/>
          <w:bCs w:val="0"/>
          <w:snapToGrid w:val="0"/>
          <w:color w:val="auto"/>
          <w:kern w:val="2"/>
          <w:sz w:val="30"/>
          <w:szCs w:val="30"/>
          <w:lang w:val="en-US" w:eastAsia="zh-CN" w:bidi="ar-SA"/>
        </w:rPr>
        <w:t>其它监管制度</w:t>
      </w:r>
      <w:bookmarkEnd w:id="195"/>
    </w:p>
    <w:p w14:paraId="24D02C8E">
      <w:pPr>
        <w:ind w:firstLine="549"/>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rPr>
        <w:t>完善技术服务体系监管制度</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建立健全技术服务单位的评价制度。完善生产建设项目水土保持设计、监理、监测、验收市场准入机制</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探索提供水土保持生态产品获得生态补偿的途径，建立水土流失预防保护范围的水土保持生态补偿制度。</w:t>
      </w:r>
      <w:r>
        <w:rPr>
          <w:rFonts w:hint="eastAsia" w:ascii="Times New Roman" w:hAnsi="Times New Roman" w:eastAsia="宋体" w:cs="Times New Roman"/>
          <w:snapToGrid w:val="0"/>
          <w:color w:val="auto"/>
          <w:sz w:val="28"/>
          <w:szCs w:val="28"/>
          <w:lang w:val="en-US" w:eastAsia="zh-CN"/>
        </w:rPr>
        <w:t>根据城市建设的特点，建立适合当地的水土保持监管机制，加强宣传，提高人们的环保意识。</w:t>
      </w:r>
    </w:p>
    <w:p w14:paraId="327983D9">
      <w:pPr>
        <w:pStyle w:val="7"/>
        <w:bidi w:val="0"/>
        <w:rPr>
          <w:rFonts w:hint="default" w:ascii="黑体" w:hAnsi="黑体" w:eastAsia="黑体" w:cs="黑体"/>
          <w:color w:val="auto"/>
          <w:sz w:val="32"/>
          <w:szCs w:val="32"/>
          <w:lang w:val="en-US" w:eastAsia="zh-CN"/>
        </w:rPr>
      </w:pPr>
      <w:bookmarkStart w:id="196" w:name="_Toc17284"/>
      <w:bookmarkStart w:id="197" w:name="_Toc14404"/>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监管机制</w:t>
      </w:r>
      <w:bookmarkEnd w:id="182"/>
      <w:bookmarkEnd w:id="183"/>
      <w:bookmarkEnd w:id="196"/>
      <w:r>
        <w:rPr>
          <w:rFonts w:hint="eastAsia" w:ascii="黑体" w:hAnsi="黑体" w:eastAsia="黑体" w:cs="黑体"/>
          <w:color w:val="auto"/>
          <w:sz w:val="32"/>
          <w:szCs w:val="32"/>
          <w:lang w:val="en-US" w:eastAsia="zh-CN"/>
        </w:rPr>
        <w:t>建立</w:t>
      </w:r>
      <w:bookmarkEnd w:id="197"/>
    </w:p>
    <w:p w14:paraId="17073BAA">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98" w:name="_Toc20795"/>
      <w:r>
        <w:rPr>
          <w:rFonts w:hint="eastAsia" w:ascii="Times New Roman" w:hAnsi="Times New Roman" w:eastAsia="楷体_GB2312" w:cs="Times New Roman"/>
          <w:b/>
          <w:bCs w:val="0"/>
          <w:snapToGrid w:val="0"/>
          <w:color w:val="auto"/>
          <w:kern w:val="2"/>
          <w:sz w:val="30"/>
          <w:szCs w:val="30"/>
          <w:lang w:val="en-US" w:eastAsia="zh-CN" w:bidi="ar-SA"/>
        </w:rPr>
        <w:t>（一）</w:t>
      </w:r>
      <w:r>
        <w:rPr>
          <w:rFonts w:hint="default" w:ascii="Times New Roman" w:hAnsi="Times New Roman" w:eastAsia="楷体_GB2312" w:cs="Times New Roman"/>
          <w:b/>
          <w:bCs w:val="0"/>
          <w:snapToGrid w:val="0"/>
          <w:color w:val="auto"/>
          <w:kern w:val="2"/>
          <w:sz w:val="30"/>
          <w:szCs w:val="30"/>
          <w:lang w:val="en-US" w:eastAsia="zh-CN" w:bidi="ar-SA"/>
        </w:rPr>
        <w:t>建立生产建设项目人为水土流失协同监管机制</w:t>
      </w:r>
      <w:bookmarkEnd w:id="198"/>
    </w:p>
    <w:p w14:paraId="07F89183">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人为水土流失监管涉及水利、发展改革、交通、城乡建设、能源、自然资源、生态环保等多部门或行业，充分发挥水土保持</w:t>
      </w:r>
      <w:r>
        <w:rPr>
          <w:rFonts w:hint="default" w:ascii="Times New Roman" w:hAnsi="Times New Roman" w:cs="Times New Roman"/>
          <w:snapToGrid w:val="0"/>
          <w:color w:val="auto"/>
          <w:sz w:val="28"/>
          <w:szCs w:val="28"/>
          <w:lang w:eastAsia="zh-CN"/>
        </w:rPr>
        <w:t>委员会</w:t>
      </w:r>
      <w:r>
        <w:rPr>
          <w:rFonts w:hint="default" w:ascii="Times New Roman" w:hAnsi="Times New Roman" w:eastAsia="宋体" w:cs="Times New Roman"/>
          <w:snapToGrid w:val="0"/>
          <w:color w:val="auto"/>
          <w:sz w:val="28"/>
          <w:szCs w:val="28"/>
        </w:rPr>
        <w:t>的统筹协调作用，建立完善水土保持协同监管机制。水行政主管部门要全面履行水土保持行业主管职责，</w:t>
      </w:r>
      <w:r>
        <w:rPr>
          <w:rFonts w:hint="default" w:ascii="Times New Roman" w:hAnsi="Times New Roman" w:cs="Times New Roman"/>
          <w:snapToGrid w:val="0"/>
          <w:color w:val="auto"/>
          <w:sz w:val="28"/>
          <w:szCs w:val="28"/>
          <w:lang w:eastAsia="zh-CN"/>
        </w:rPr>
        <w:t>委员会</w:t>
      </w:r>
      <w:r>
        <w:rPr>
          <w:rFonts w:hint="default" w:ascii="Times New Roman" w:hAnsi="Times New Roman" w:eastAsia="宋体" w:cs="Times New Roman"/>
          <w:snapToGrid w:val="0"/>
          <w:color w:val="auto"/>
          <w:sz w:val="28"/>
          <w:szCs w:val="28"/>
        </w:rPr>
        <w:t>各成员单位要结合行业管理职责，督促行业内生产建设单位严格依法依规落实好水土保持“三同时”制度，推动形成“管建设、管生产、管行业必须管水保”的水土保持监管新格局。</w:t>
      </w:r>
    </w:p>
    <w:p w14:paraId="2187BB1A">
      <w:pPr>
        <w:ind w:firstLine="549"/>
        <w:rPr>
          <w:rFonts w:hint="default" w:ascii="Times New Roman" w:hAnsi="Times New Roman" w:cs="Times New Roman"/>
          <w:snapToGrid w:val="0"/>
          <w:color w:val="auto"/>
          <w:sz w:val="28"/>
          <w:szCs w:val="28"/>
          <w:lang w:val="en-US" w:eastAsia="zh-CN"/>
        </w:rPr>
      </w:pPr>
      <w:r>
        <w:rPr>
          <w:rFonts w:hint="default" w:ascii="Times New Roman" w:hAnsi="Times New Roman" w:cs="Times New Roman"/>
          <w:snapToGrid w:val="0"/>
          <w:color w:val="auto"/>
          <w:sz w:val="28"/>
          <w:szCs w:val="28"/>
          <w:lang w:val="en-US" w:eastAsia="zh-CN"/>
        </w:rPr>
        <w:t>健全水土保持监管履职逐级督查机制，健全行业上下联动的监管体系。强化与相关部门的协同监管，推动建立监管与执法、执法与司法的衔接机制，适时开展水土保持法贯彻实施情况</w:t>
      </w:r>
      <w:r>
        <w:rPr>
          <w:rFonts w:hint="eastAsia" w:ascii="Times New Roman" w:hAnsi="Times New Roman" w:cs="Times New Roman"/>
          <w:snapToGrid w:val="0"/>
          <w:color w:val="auto"/>
          <w:sz w:val="28"/>
          <w:szCs w:val="28"/>
          <w:lang w:val="en-US" w:eastAsia="zh-CN"/>
        </w:rPr>
        <w:t>加</w:t>
      </w:r>
      <w:r>
        <w:rPr>
          <w:rFonts w:hint="default" w:ascii="Times New Roman" w:hAnsi="Times New Roman" w:cs="Times New Roman"/>
          <w:snapToGrid w:val="0"/>
          <w:color w:val="auto"/>
          <w:sz w:val="28"/>
          <w:szCs w:val="28"/>
          <w:lang w:val="en-US" w:eastAsia="zh-CN"/>
        </w:rPr>
        <w:t>大执法检查和部门联合检查。发挥好生产建设项目行业主管部门的作用，推动形成水土保持“一岗双责”新格局。畅通公众监督和举报渠道，探索推进水土保持公益诉讼，加大正面宣传和负面曝光力度，形成监管合力。</w:t>
      </w:r>
    </w:p>
    <w:p w14:paraId="2900C6DC">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199" w:name="_Toc22563"/>
      <w:r>
        <w:rPr>
          <w:rFonts w:hint="eastAsia" w:ascii="Times New Roman" w:hAnsi="Times New Roman" w:eastAsia="楷体_GB2312" w:cs="Times New Roman"/>
          <w:b/>
          <w:bCs w:val="0"/>
          <w:snapToGrid w:val="0"/>
          <w:color w:val="auto"/>
          <w:kern w:val="2"/>
          <w:sz w:val="30"/>
          <w:szCs w:val="30"/>
          <w:lang w:val="en-US" w:eastAsia="zh-CN" w:bidi="ar-SA"/>
        </w:rPr>
        <w:t>（二）</w:t>
      </w:r>
      <w:r>
        <w:rPr>
          <w:rFonts w:hint="default" w:ascii="Times New Roman" w:hAnsi="Times New Roman" w:eastAsia="楷体_GB2312" w:cs="Times New Roman"/>
          <w:b/>
          <w:bCs w:val="0"/>
          <w:snapToGrid w:val="0"/>
          <w:color w:val="auto"/>
          <w:kern w:val="2"/>
          <w:sz w:val="30"/>
          <w:szCs w:val="30"/>
          <w:lang w:val="en-US" w:eastAsia="zh-CN" w:bidi="ar-SA"/>
        </w:rPr>
        <w:t>加强基层监管机构和队伍建设</w:t>
      </w:r>
      <w:bookmarkEnd w:id="199"/>
    </w:p>
    <w:p w14:paraId="58DCBF57">
      <w:pPr>
        <w:ind w:firstLine="549"/>
        <w:rPr>
          <w:rFonts w:hint="default" w:ascii="Times New Roman" w:hAnsi="Times New Roman"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rPr>
        <w:t>水土保持基层监督管理机构和队伍建设水平事关水土保持工作部署的贯彻落实和成效。综合市（县）行政管辖范围、水土流失面积、城镇化程度、生产建设强度、区域水土保持功能等因素，完善有关技术与管理人员的继续教育与培训机制。</w:t>
      </w:r>
    </w:p>
    <w:p w14:paraId="4DFA5DF3">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200" w:name="_Toc7407"/>
      <w:r>
        <w:rPr>
          <w:rFonts w:hint="eastAsia" w:ascii="Times New Roman" w:hAnsi="Times New Roman" w:eastAsia="楷体_GB2312" w:cs="Times New Roman"/>
          <w:b/>
          <w:bCs w:val="0"/>
          <w:snapToGrid w:val="0"/>
          <w:color w:val="auto"/>
          <w:kern w:val="2"/>
          <w:sz w:val="30"/>
          <w:szCs w:val="30"/>
          <w:lang w:val="en-US" w:eastAsia="zh-CN" w:bidi="ar-SA"/>
        </w:rPr>
        <w:t>（三）</w:t>
      </w:r>
      <w:r>
        <w:rPr>
          <w:rFonts w:hint="default" w:ascii="Times New Roman" w:hAnsi="Times New Roman" w:eastAsia="楷体_GB2312" w:cs="Times New Roman"/>
          <w:b/>
          <w:bCs w:val="0"/>
          <w:snapToGrid w:val="0"/>
          <w:color w:val="auto"/>
          <w:kern w:val="2"/>
          <w:sz w:val="30"/>
          <w:szCs w:val="30"/>
          <w:lang w:val="en-US" w:eastAsia="zh-CN" w:bidi="ar-SA"/>
        </w:rPr>
        <w:t>创新水土保持</w:t>
      </w:r>
      <w:r>
        <w:rPr>
          <w:rFonts w:hint="eastAsia" w:ascii="Times New Roman" w:hAnsi="Times New Roman" w:eastAsia="楷体_GB2312" w:cs="Times New Roman"/>
          <w:b/>
          <w:bCs w:val="0"/>
          <w:snapToGrid w:val="0"/>
          <w:color w:val="auto"/>
          <w:kern w:val="2"/>
          <w:sz w:val="30"/>
          <w:szCs w:val="30"/>
          <w:lang w:val="en-US" w:eastAsia="zh-CN" w:bidi="ar-SA"/>
        </w:rPr>
        <w:t>宣传</w:t>
      </w:r>
      <w:r>
        <w:rPr>
          <w:rFonts w:hint="default" w:ascii="Times New Roman" w:hAnsi="Times New Roman" w:eastAsia="楷体_GB2312" w:cs="Times New Roman"/>
          <w:b/>
          <w:bCs w:val="0"/>
          <w:snapToGrid w:val="0"/>
          <w:color w:val="auto"/>
          <w:kern w:val="2"/>
          <w:sz w:val="30"/>
          <w:szCs w:val="30"/>
          <w:lang w:val="en-US" w:eastAsia="zh-CN" w:bidi="ar-SA"/>
        </w:rPr>
        <w:t>手段和方式</w:t>
      </w:r>
      <w:bookmarkEnd w:id="200"/>
    </w:p>
    <w:p w14:paraId="0C9C8D26">
      <w:pPr>
        <w:keepNext w:val="0"/>
        <w:keepLines w:val="0"/>
        <w:widowControl/>
        <w:suppressLineNumbers w:val="0"/>
        <w:ind w:firstLine="560" w:firstLineChars="200"/>
        <w:jc w:val="left"/>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lang w:val="en-US" w:eastAsia="zh-CN"/>
        </w:rPr>
        <w:t>拓宽思路、创新形式，建立多渠道、全方位的水土保持宣传工作机制，充分发挥传统媒体、新媒体及各级领导干部培训机构等平台的优势。</w:t>
      </w:r>
    </w:p>
    <w:p w14:paraId="4280D640">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r>
        <w:rPr>
          <w:rFonts w:hint="eastAsia" w:ascii="Times New Roman" w:hAnsi="Times New Roman" w:eastAsia="楷体_GB2312" w:cs="Times New Roman"/>
          <w:b/>
          <w:bCs w:val="0"/>
          <w:snapToGrid w:val="0"/>
          <w:color w:val="auto"/>
          <w:kern w:val="2"/>
          <w:sz w:val="30"/>
          <w:szCs w:val="30"/>
          <w:lang w:val="en-US" w:eastAsia="zh-CN" w:bidi="ar-SA"/>
        </w:rPr>
        <w:t>（四）完善水土保持市场服务机制</w:t>
      </w:r>
    </w:p>
    <w:p w14:paraId="3C4D93E7">
      <w:pPr>
        <w:keepNext w:val="0"/>
        <w:keepLines w:val="0"/>
        <w:widowControl/>
        <w:suppressLineNumbers w:val="0"/>
        <w:ind w:firstLine="560" w:firstLineChars="200"/>
        <w:jc w:val="left"/>
        <w:rPr>
          <w:rFonts w:hint="default" w:ascii="Times New Roman" w:hAnsi="Times New Roman" w:eastAsia="宋体" w:cs="Times New Roman"/>
          <w:snapToGrid w:val="0"/>
          <w:color w:val="auto"/>
          <w:sz w:val="28"/>
          <w:szCs w:val="28"/>
        </w:rPr>
      </w:pPr>
      <w:r>
        <w:rPr>
          <w:rFonts w:hint="eastAsia" w:ascii="Times New Roman" w:hAnsi="Times New Roman" w:eastAsia="宋体" w:cs="Times New Roman"/>
          <w:snapToGrid w:val="0"/>
          <w:color w:val="auto"/>
          <w:sz w:val="28"/>
          <w:szCs w:val="28"/>
          <w:lang w:val="en-US" w:eastAsia="zh-CN"/>
        </w:rPr>
        <w:t>积极探索</w:t>
      </w:r>
      <w:r>
        <w:rPr>
          <w:rFonts w:hint="default" w:ascii="Times New Roman" w:hAnsi="Times New Roman" w:eastAsia="宋体" w:cs="Times New Roman"/>
          <w:snapToGrid w:val="0"/>
          <w:color w:val="auto"/>
          <w:sz w:val="28"/>
          <w:szCs w:val="28"/>
        </w:rPr>
        <w:t>推行政府购买服务引入第三方机构参与</w:t>
      </w:r>
      <w:r>
        <w:rPr>
          <w:rFonts w:hint="eastAsia" w:ascii="Times New Roman" w:hAnsi="Times New Roman" w:eastAsia="宋体" w:cs="Times New Roman"/>
          <w:snapToGrid w:val="0"/>
          <w:color w:val="auto"/>
          <w:sz w:val="28"/>
          <w:szCs w:val="28"/>
          <w:lang w:val="en-US" w:eastAsia="zh-CN"/>
        </w:rPr>
        <w:t>水土保持</w:t>
      </w:r>
      <w:r>
        <w:rPr>
          <w:rFonts w:hint="default" w:ascii="Times New Roman" w:hAnsi="Times New Roman" w:eastAsia="宋体" w:cs="Times New Roman"/>
          <w:snapToGrid w:val="0"/>
          <w:color w:val="auto"/>
          <w:sz w:val="28"/>
          <w:szCs w:val="28"/>
        </w:rPr>
        <w:t>调查、咨询、评估、监督</w:t>
      </w:r>
      <w:r>
        <w:rPr>
          <w:rFonts w:hint="eastAsia" w:ascii="Times New Roman" w:hAnsi="Times New Roman" w:eastAsia="宋体" w:cs="Times New Roman"/>
          <w:snapToGrid w:val="0"/>
          <w:color w:val="auto"/>
          <w:sz w:val="28"/>
          <w:szCs w:val="28"/>
          <w:lang w:val="en-US" w:eastAsia="zh-CN"/>
        </w:rPr>
        <w:t>管理及违法事实鉴定</w:t>
      </w:r>
      <w:r>
        <w:rPr>
          <w:rFonts w:hint="default" w:ascii="Times New Roman" w:hAnsi="Times New Roman" w:eastAsia="宋体" w:cs="Times New Roman"/>
          <w:snapToGrid w:val="0"/>
          <w:color w:val="auto"/>
          <w:sz w:val="28"/>
          <w:szCs w:val="28"/>
        </w:rPr>
        <w:t>等水土保持管理</w:t>
      </w:r>
      <w:r>
        <w:rPr>
          <w:rFonts w:hint="eastAsia" w:ascii="Times New Roman" w:hAnsi="Times New Roman" w:eastAsia="宋体" w:cs="Times New Roman"/>
          <w:snapToGrid w:val="0"/>
          <w:color w:val="auto"/>
          <w:sz w:val="28"/>
          <w:szCs w:val="28"/>
          <w:lang w:val="en-US" w:eastAsia="zh-CN"/>
        </w:rPr>
        <w:t>工作</w:t>
      </w:r>
      <w:r>
        <w:rPr>
          <w:rFonts w:hint="default" w:ascii="Times New Roman" w:hAnsi="Times New Roman" w:eastAsia="宋体" w:cs="Times New Roman"/>
          <w:snapToGrid w:val="0"/>
          <w:color w:val="auto"/>
          <w:sz w:val="28"/>
          <w:szCs w:val="28"/>
        </w:rPr>
        <w:t>，构建公平开放、竞争有序、监管到位的水土保持服务市场。</w:t>
      </w:r>
    </w:p>
    <w:p w14:paraId="64184461">
      <w:pPr>
        <w:pStyle w:val="7"/>
        <w:bidi w:val="0"/>
        <w:rPr>
          <w:rFonts w:hint="default" w:ascii="黑体" w:hAnsi="黑体" w:eastAsia="黑体" w:cs="黑体"/>
          <w:color w:val="auto"/>
          <w:sz w:val="32"/>
          <w:szCs w:val="32"/>
          <w:lang w:val="en-US" w:eastAsia="zh-CN"/>
        </w:rPr>
      </w:pPr>
      <w:bookmarkStart w:id="201" w:name="_Toc8430"/>
      <w:bookmarkStart w:id="202" w:name="_Toc11383"/>
      <w:bookmarkStart w:id="203" w:name="_Toc17245"/>
      <w:r>
        <w:rPr>
          <w:rFonts w:hint="eastAsia" w:ascii="黑体" w:hAnsi="黑体" w:eastAsia="黑体" w:cs="黑体"/>
          <w:color w:val="auto"/>
          <w:sz w:val="32"/>
          <w:szCs w:val="32"/>
          <w:lang w:val="en-US" w:eastAsia="zh-CN"/>
        </w:rPr>
        <w:t>三、重点</w:t>
      </w:r>
      <w:r>
        <w:rPr>
          <w:rFonts w:hint="default" w:ascii="黑体" w:hAnsi="黑体" w:eastAsia="黑体" w:cs="黑体"/>
          <w:color w:val="auto"/>
          <w:sz w:val="32"/>
          <w:szCs w:val="32"/>
          <w:lang w:val="en-US" w:eastAsia="zh-CN"/>
        </w:rPr>
        <w:t>监</w:t>
      </w:r>
      <w:bookmarkEnd w:id="201"/>
      <w:r>
        <w:rPr>
          <w:rFonts w:hint="eastAsia" w:ascii="黑体" w:hAnsi="黑体" w:eastAsia="黑体" w:cs="黑体"/>
          <w:color w:val="auto"/>
          <w:sz w:val="32"/>
          <w:szCs w:val="32"/>
          <w:lang w:val="en-US" w:eastAsia="zh-CN"/>
        </w:rPr>
        <w:t>管任务</w:t>
      </w:r>
      <w:bookmarkEnd w:id="202"/>
    </w:p>
    <w:p w14:paraId="4A7B570E">
      <w:pPr>
        <w:numPr>
          <w:ilvl w:val="0"/>
          <w:numId w:val="3"/>
        </w:numPr>
        <w:ind w:firstLine="549"/>
        <w:rPr>
          <w:rFonts w:hint="eastAsia" w:ascii="Times New Roman" w:hAnsi="Times New Roman" w:eastAsia="宋体" w:cs="Times New Roman"/>
          <w:snapToGrid w:val="0"/>
          <w:color w:val="auto"/>
          <w:sz w:val="28"/>
          <w:szCs w:val="28"/>
          <w:lang w:eastAsia="zh-CN"/>
        </w:rPr>
      </w:pPr>
      <w:r>
        <w:rPr>
          <w:rFonts w:hint="eastAsia" w:ascii="Times New Roman" w:hAnsi="Times New Roman" w:eastAsia="宋体" w:cs="Times New Roman"/>
          <w:snapToGrid w:val="0"/>
          <w:color w:val="auto"/>
          <w:sz w:val="28"/>
          <w:szCs w:val="28"/>
          <w:lang w:val="en-US" w:eastAsia="zh-CN"/>
        </w:rPr>
        <w:t>加强法制建设</w:t>
      </w:r>
    </w:p>
    <w:p w14:paraId="46AD7721">
      <w:pPr>
        <w:numPr>
          <w:ilvl w:val="0"/>
          <w:numId w:val="0"/>
        </w:numPr>
        <w:ind w:firstLine="560" w:firstLineChars="200"/>
        <w:rPr>
          <w:rFonts w:hint="eastAsia" w:ascii="Times New Roman" w:hAnsi="Times New Roman" w:eastAsia="宋体" w:cs="Times New Roman"/>
          <w:snapToGrid w:val="0"/>
          <w:color w:val="auto"/>
          <w:sz w:val="28"/>
          <w:szCs w:val="28"/>
          <w:lang w:eastAsia="zh-CN"/>
        </w:rPr>
      </w:pPr>
      <w:r>
        <w:rPr>
          <w:rFonts w:hint="default" w:ascii="Times New Roman" w:hAnsi="Times New Roman" w:eastAsia="宋体" w:cs="Times New Roman"/>
          <w:snapToGrid w:val="0"/>
          <w:color w:val="auto"/>
          <w:sz w:val="28"/>
          <w:szCs w:val="28"/>
        </w:rPr>
        <w:t>修订</w:t>
      </w:r>
      <w:r>
        <w:rPr>
          <w:rFonts w:hint="eastAsia" w:ascii="Times New Roman" w:hAnsi="Times New Roman"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eastAsia="zh-CN"/>
        </w:rPr>
        <w:t>贵州省水土保持条例》，并出台或完善</w:t>
      </w:r>
      <w:r>
        <w:rPr>
          <w:rFonts w:hint="eastAsia" w:ascii="Times New Roman" w:hAnsi="Times New Roman" w:eastAsia="宋体" w:cs="Times New Roman"/>
          <w:snapToGrid w:val="0"/>
          <w:color w:val="auto"/>
          <w:sz w:val="28"/>
          <w:szCs w:val="28"/>
          <w:lang w:val="en-US" w:eastAsia="zh-CN"/>
        </w:rPr>
        <w:t>2项以上</w:t>
      </w:r>
      <w:r>
        <w:rPr>
          <w:rFonts w:hint="default" w:ascii="Times New Roman" w:hAnsi="Times New Roman" w:eastAsia="宋体" w:cs="Times New Roman"/>
          <w:snapToGrid w:val="0"/>
          <w:color w:val="auto"/>
          <w:sz w:val="28"/>
          <w:szCs w:val="28"/>
        </w:rPr>
        <w:t>水土保持</w:t>
      </w:r>
      <w:r>
        <w:rPr>
          <w:rFonts w:hint="default" w:ascii="Times New Roman" w:hAnsi="Times New Roman" w:eastAsia="宋体" w:cs="Times New Roman"/>
          <w:snapToGrid w:val="0"/>
          <w:color w:val="auto"/>
          <w:sz w:val="28"/>
          <w:szCs w:val="28"/>
          <w:lang w:eastAsia="zh-CN"/>
        </w:rPr>
        <w:t>相关监督管理制度</w:t>
      </w:r>
      <w:r>
        <w:rPr>
          <w:rFonts w:hint="eastAsia" w:ascii="Times New Roman" w:hAnsi="Times New Roman" w:eastAsia="宋体" w:cs="Times New Roman"/>
          <w:snapToGrid w:val="0"/>
          <w:color w:val="auto"/>
          <w:sz w:val="28"/>
          <w:szCs w:val="28"/>
          <w:lang w:eastAsia="zh-CN"/>
        </w:rPr>
        <w:t>。全面严格落实“谁执法谁普法”“谁管理谁普法”“谁服务谁普法”的普法责任制，加强对水土保持行业内外人员的普法工作。加大执法力度，对水土保持监督执法人员定期培训、考核与指导，逐步配备完善各级水土保持监督执法队伍，加快提高监督执法的质量和效率。做到水土保持违法行为发现一起，处罚一起。</w:t>
      </w:r>
    </w:p>
    <w:p w14:paraId="2C204674">
      <w:pPr>
        <w:numPr>
          <w:ilvl w:val="0"/>
          <w:numId w:val="0"/>
        </w:numPr>
        <w:ind w:firstLine="560" w:firstLineChars="200"/>
        <w:rPr>
          <w:rFonts w:hint="default"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（2）优化</w:t>
      </w:r>
      <w:r>
        <w:rPr>
          <w:rFonts w:hint="default" w:ascii="Times New Roman" w:hAnsi="Times New Roman" w:eastAsia="宋体" w:cs="Times New Roman"/>
          <w:snapToGrid w:val="0"/>
          <w:color w:val="auto"/>
          <w:sz w:val="28"/>
          <w:szCs w:val="28"/>
          <w:lang w:val="en-US" w:eastAsia="zh-CN"/>
        </w:rPr>
        <w:t>完善监管制度体系</w:t>
      </w:r>
    </w:p>
    <w:p w14:paraId="2609417A">
      <w:pPr>
        <w:numPr>
          <w:ilvl w:val="0"/>
          <w:numId w:val="0"/>
        </w:numPr>
        <w:ind w:firstLine="560" w:firstLineChars="200"/>
        <w:rPr>
          <w:rFonts w:hint="default" w:ascii="Times New Roman" w:hAnsi="Times New Roman" w:eastAsia="宋体" w:cs="Times New Roman"/>
          <w:snapToGrid w:val="0"/>
          <w:color w:val="auto"/>
          <w:sz w:val="28"/>
          <w:szCs w:val="28"/>
          <w:lang w:val="en-US"/>
        </w:rPr>
      </w:pPr>
      <w:r>
        <w:rPr>
          <w:rFonts w:hint="default" w:ascii="Times New Roman" w:hAnsi="Times New Roman" w:eastAsia="宋体" w:cs="Times New Roman"/>
          <w:snapToGrid w:val="0"/>
          <w:color w:val="auto"/>
          <w:sz w:val="28"/>
          <w:szCs w:val="28"/>
        </w:rPr>
        <w:t>进一步强化水土保持</w:t>
      </w:r>
      <w:r>
        <w:rPr>
          <w:rFonts w:hint="default" w:ascii="Times New Roman" w:hAnsi="Times New Roman" w:cs="Times New Roman"/>
          <w:snapToGrid w:val="0"/>
          <w:color w:val="auto"/>
          <w:sz w:val="28"/>
          <w:szCs w:val="28"/>
          <w:lang w:eastAsia="zh-CN"/>
        </w:rPr>
        <w:t>委员会</w:t>
      </w:r>
      <w:r>
        <w:rPr>
          <w:rFonts w:hint="default" w:ascii="Times New Roman" w:hAnsi="Times New Roman" w:eastAsia="宋体" w:cs="Times New Roman"/>
          <w:snapToGrid w:val="0"/>
          <w:color w:val="auto"/>
          <w:sz w:val="28"/>
          <w:szCs w:val="28"/>
        </w:rPr>
        <w:t>统筹协调机制，建立管行业必须管水保的责任体制</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落实目标考核和责任追究制度</w:t>
      </w:r>
      <w:r>
        <w:rPr>
          <w:rFonts w:hint="default" w:ascii="Times New Roman" w:hAnsi="Times New Roman" w:eastAsia="宋体" w:cs="Times New Roman"/>
          <w:snapToGrid w:val="0"/>
          <w:color w:val="auto"/>
          <w:sz w:val="28"/>
          <w:szCs w:val="28"/>
        </w:rPr>
        <w:t>；深化“放管服”改革，积极推行水土保持承诺制</w:t>
      </w:r>
      <w:r>
        <w:rPr>
          <w:rFonts w:hint="eastAsia" w:ascii="Times New Roman" w:hAnsi="Times New Roman" w:cs="Times New Roman"/>
          <w:snapToGrid w:val="0"/>
          <w:color w:val="auto"/>
          <w:sz w:val="28"/>
          <w:szCs w:val="28"/>
          <w:lang w:eastAsia="zh-CN"/>
        </w:rPr>
        <w:t>，不断提高审批效能。</w:t>
      </w:r>
      <w:r>
        <w:rPr>
          <w:rFonts w:hint="default" w:ascii="Times New Roman" w:hAnsi="Times New Roman" w:eastAsia="宋体" w:cs="Times New Roman"/>
          <w:snapToGrid w:val="0"/>
          <w:color w:val="auto"/>
          <w:sz w:val="28"/>
          <w:szCs w:val="28"/>
        </w:rPr>
        <w:t>持续优化完善生产建设项目水土保持方案审批、跟踪监管、水土保持监测和水土保持设施验收制度。</w:t>
      </w:r>
      <w:r>
        <w:rPr>
          <w:rFonts w:hint="eastAsia" w:ascii="Times New Roman" w:hAnsi="Times New Roman" w:cs="Times New Roman"/>
          <w:snapToGrid w:val="0"/>
          <w:color w:val="auto"/>
          <w:sz w:val="28"/>
          <w:szCs w:val="28"/>
          <w:lang w:val="en-US" w:eastAsia="zh-CN"/>
        </w:rPr>
        <w:t>开展</w:t>
      </w:r>
      <w:r>
        <w:rPr>
          <w:rFonts w:hint="default" w:ascii="Times New Roman" w:hAnsi="Times New Roman" w:cs="Times New Roman"/>
          <w:snapToGrid w:val="0"/>
          <w:color w:val="auto"/>
          <w:sz w:val="28"/>
          <w:szCs w:val="28"/>
          <w:lang w:val="en-US" w:eastAsia="zh-CN"/>
        </w:rPr>
        <w:t>监管能力提升行动，提高监管专业化水平和现代科技手段应用能力，保障水土保持监管工作经费和装备投入。</w:t>
      </w:r>
    </w:p>
    <w:p w14:paraId="5F32165D">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val="en-US" w:eastAsia="zh-CN"/>
        </w:rPr>
        <w:t>（</w:t>
      </w:r>
      <w:r>
        <w:rPr>
          <w:rFonts w:hint="eastAsia" w:ascii="Times New Roman" w:hAnsi="Times New Roman" w:eastAsia="宋体" w:cs="Times New Roman"/>
          <w:snapToGrid w:val="0"/>
          <w:color w:val="auto"/>
          <w:sz w:val="28"/>
          <w:szCs w:val="28"/>
          <w:lang w:val="en-US" w:eastAsia="zh-CN"/>
        </w:rPr>
        <w:t>3</w:t>
      </w:r>
      <w:r>
        <w:rPr>
          <w:rFonts w:hint="default" w:ascii="Times New Roman" w:hAnsi="Times New Roman" w:eastAsia="宋体" w:cs="Times New Roman"/>
          <w:snapToGrid w:val="0"/>
          <w:color w:val="auto"/>
          <w:sz w:val="28"/>
          <w:szCs w:val="28"/>
          <w:lang w:val="en-US" w:eastAsia="zh-CN"/>
        </w:rPr>
        <w:t>）</w:t>
      </w:r>
      <w:r>
        <w:rPr>
          <w:rFonts w:hint="default" w:ascii="Times New Roman" w:hAnsi="Times New Roman" w:eastAsia="宋体" w:cs="Times New Roman"/>
          <w:snapToGrid w:val="0"/>
          <w:color w:val="auto"/>
          <w:sz w:val="28"/>
          <w:szCs w:val="28"/>
        </w:rPr>
        <w:t>实施人为水土流失遥感全覆盖动态监管</w:t>
      </w:r>
    </w:p>
    <w:p w14:paraId="5F408F71">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加大遥感全覆盖监管频次，通过卫星遥感解译及时精准发现人为扰动水土流失违法违规行为，实现常态化监管。</w:t>
      </w:r>
      <w:r>
        <w:rPr>
          <w:rFonts w:hint="default" w:ascii="Times New Roman" w:hAnsi="Times New Roman" w:cs="Times New Roman"/>
          <w:snapToGrid w:val="0"/>
          <w:color w:val="auto"/>
          <w:sz w:val="28"/>
          <w:szCs w:val="28"/>
          <w:lang w:val="en-US" w:eastAsia="zh-CN"/>
        </w:rPr>
        <w:t>每年至少</w:t>
      </w:r>
      <w:r>
        <w:rPr>
          <w:rFonts w:hint="eastAsia" w:ascii="Times New Roman" w:hAnsi="Times New Roman" w:cs="Times New Roman"/>
          <w:snapToGrid w:val="0"/>
          <w:color w:val="auto"/>
          <w:sz w:val="28"/>
          <w:szCs w:val="28"/>
          <w:lang w:val="en-US" w:eastAsia="zh-CN"/>
        </w:rPr>
        <w:t>开展2</w:t>
      </w:r>
      <w:r>
        <w:rPr>
          <w:rFonts w:hint="default" w:ascii="Times New Roman" w:hAnsi="Times New Roman" w:cs="Times New Roman"/>
          <w:snapToGrid w:val="0"/>
          <w:color w:val="auto"/>
          <w:sz w:val="28"/>
          <w:szCs w:val="28"/>
          <w:lang w:val="en-US" w:eastAsia="zh-CN"/>
        </w:rPr>
        <w:t>次</w:t>
      </w:r>
      <w:r>
        <w:rPr>
          <w:rFonts w:hint="eastAsia" w:ascii="Times New Roman" w:hAnsi="Times New Roman" w:cs="Times New Roman"/>
          <w:snapToGrid w:val="0"/>
          <w:color w:val="auto"/>
          <w:sz w:val="28"/>
          <w:szCs w:val="28"/>
          <w:lang w:val="en-US" w:eastAsia="zh-CN"/>
        </w:rPr>
        <w:t>以上</w:t>
      </w:r>
      <w:r>
        <w:rPr>
          <w:rFonts w:hint="default" w:ascii="Times New Roman" w:hAnsi="Times New Roman" w:cs="Times New Roman"/>
          <w:snapToGrid w:val="0"/>
          <w:color w:val="auto"/>
          <w:sz w:val="28"/>
          <w:szCs w:val="28"/>
          <w:lang w:val="en-US" w:eastAsia="zh-CN"/>
        </w:rPr>
        <w:t>水土保持遥感</w:t>
      </w:r>
      <w:r>
        <w:rPr>
          <w:rFonts w:hint="eastAsia" w:ascii="Times New Roman" w:hAnsi="Times New Roman" w:cs="Times New Roman"/>
          <w:snapToGrid w:val="0"/>
          <w:color w:val="auto"/>
          <w:sz w:val="28"/>
          <w:szCs w:val="28"/>
          <w:lang w:val="en-US" w:eastAsia="zh-CN"/>
        </w:rPr>
        <w:t>全覆盖动态</w:t>
      </w:r>
      <w:r>
        <w:rPr>
          <w:rFonts w:hint="default" w:ascii="Times New Roman" w:hAnsi="Times New Roman" w:cs="Times New Roman"/>
          <w:snapToGrid w:val="0"/>
          <w:color w:val="auto"/>
          <w:sz w:val="28"/>
          <w:szCs w:val="28"/>
          <w:lang w:val="en-US" w:eastAsia="zh-CN"/>
        </w:rPr>
        <w:t>监管。</w:t>
      </w:r>
    </w:p>
    <w:p w14:paraId="342BB88E">
      <w:pPr>
        <w:ind w:firstLine="560" w:firstLineChars="200"/>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（4）</w:t>
      </w:r>
      <w:r>
        <w:rPr>
          <w:rFonts w:hint="default" w:ascii="Times New Roman" w:hAnsi="Times New Roman" w:eastAsia="宋体" w:cs="Times New Roman"/>
          <w:color w:val="auto"/>
          <w:sz w:val="28"/>
          <w:szCs w:val="28"/>
          <w:lang w:val="en-US" w:eastAsia="zh-CN"/>
        </w:rPr>
        <w:t>深化水土保持“放管服”</w:t>
      </w:r>
      <w:r>
        <w:rPr>
          <w:rFonts w:hint="eastAsia" w:ascii="Times New Roman" w:hAnsi="Times New Roman" w:eastAsia="宋体" w:cs="Times New Roman"/>
          <w:color w:val="auto"/>
          <w:sz w:val="28"/>
          <w:szCs w:val="28"/>
          <w:lang w:val="en-US" w:eastAsia="zh-CN"/>
        </w:rPr>
        <w:t>改革</w:t>
      </w:r>
    </w:p>
    <w:p w14:paraId="6EA9F9BE">
      <w:pPr>
        <w:numPr>
          <w:ilvl w:val="0"/>
          <w:numId w:val="0"/>
        </w:numPr>
        <w:ind w:firstLine="560" w:firstLineChars="200"/>
        <w:rPr>
          <w:rFonts w:hint="eastAsia"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落实全面实行行政许可事项清单管理要求，进一步明确水土保持行政许可条件、申请材料、审批程序等基本要素，持续推进水土保行政许可标准化、规范化、便利化，推动减环节、减材料、减时限、减费用，不断提高审批服务质量和效率。</w:t>
      </w:r>
      <w:r>
        <w:rPr>
          <w:rFonts w:hint="eastAsia" w:ascii="Times New Roman" w:hAnsi="Times New Roman" w:eastAsia="宋体" w:cs="Times New Roman"/>
          <w:color w:val="auto"/>
          <w:sz w:val="28"/>
          <w:szCs w:val="28"/>
        </w:rPr>
        <w:t>进一步简化生产建设项目审批程序，对城镇空间内的房地产、小型市政项目探索“不见面审批”制度</w:t>
      </w: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rPr>
        <w:t>推行水土保持方案</w:t>
      </w:r>
      <w:r>
        <w:rPr>
          <w:rFonts w:hint="eastAsia" w:ascii="Times New Roman" w:hAnsi="Times New Roman" w:eastAsia="宋体" w:cs="Times New Roman"/>
          <w:color w:val="auto"/>
          <w:sz w:val="28"/>
          <w:szCs w:val="28"/>
          <w:lang w:val="en-US" w:eastAsia="zh-CN"/>
        </w:rPr>
        <w:t>告知</w:t>
      </w:r>
      <w:r>
        <w:rPr>
          <w:rFonts w:hint="eastAsia" w:ascii="Times New Roman" w:hAnsi="Times New Roman" w:eastAsia="宋体" w:cs="Times New Roman"/>
          <w:color w:val="auto"/>
          <w:sz w:val="28"/>
          <w:szCs w:val="28"/>
        </w:rPr>
        <w:t>承诺制，简化水土保持设施自主验收报备</w:t>
      </w:r>
      <w:r>
        <w:rPr>
          <w:rFonts w:hint="eastAsia" w:ascii="Times New Roman" w:hAnsi="Times New Roman" w:eastAsia="宋体" w:cs="Times New Roman"/>
          <w:color w:val="auto"/>
          <w:sz w:val="28"/>
          <w:szCs w:val="28"/>
          <w:lang w:val="en-US" w:eastAsia="zh-CN"/>
        </w:rPr>
        <w:t>程序</w:t>
      </w:r>
      <w:r>
        <w:rPr>
          <w:rFonts w:hint="eastAsia"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lang w:val="en-US" w:eastAsia="zh-CN"/>
        </w:rPr>
        <w:t>实行验收网上报备，为企业提供优质便捷服务。坚持放管结合、放管并重，充分运用卫星遥感、无人机、大数据等现代信息技术，加强生产建设项目水土保持事前事中事后全链条监管，加大自主验收情况核查力度。发挥水土保持行业学会作用，加强水土保持技术服务单位的自律管理，构建公平开放、竞争有序的水土保持服务市场。</w:t>
      </w:r>
      <w:r>
        <w:rPr>
          <w:rFonts w:hint="eastAsia" w:ascii="Times New Roman" w:hAnsi="Times New Roman" w:eastAsia="宋体" w:cs="Times New Roman"/>
          <w:color w:val="auto"/>
          <w:sz w:val="28"/>
          <w:szCs w:val="28"/>
        </w:rPr>
        <w:t>健全生产建设项目水土保持方案编报、审批和验收备案等制度。</w:t>
      </w:r>
    </w:p>
    <w:p w14:paraId="6AB89BEB">
      <w:pPr>
        <w:ind w:firstLine="549"/>
        <w:rPr>
          <w:rFonts w:hint="default"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5</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eastAsia="zh-CN"/>
        </w:rPr>
        <w:t>加强</w:t>
      </w:r>
      <w:r>
        <w:rPr>
          <w:rFonts w:hint="default" w:ascii="Times New Roman" w:hAnsi="Times New Roman" w:eastAsia="宋体" w:cs="Times New Roman"/>
          <w:snapToGrid w:val="0"/>
          <w:color w:val="auto"/>
          <w:sz w:val="28"/>
          <w:szCs w:val="28"/>
          <w:lang w:val="en-US" w:eastAsia="zh-CN"/>
        </w:rPr>
        <w:t>国家水土保持重点工程信息化监管</w:t>
      </w:r>
    </w:p>
    <w:p w14:paraId="69956FE3">
      <w:pPr>
        <w:numPr>
          <w:ilvl w:val="0"/>
          <w:numId w:val="0"/>
        </w:numPr>
        <w:ind w:firstLine="560" w:firstLineChars="200"/>
        <w:rPr>
          <w:rFonts w:hint="default" w:ascii="Times New Roman" w:hAnsi="Times New Roman" w:eastAsia="宋体" w:cs="Times New Roman"/>
          <w:snapToGrid w:val="0"/>
          <w:color w:val="auto"/>
          <w:kern w:val="2"/>
          <w:sz w:val="28"/>
          <w:szCs w:val="28"/>
          <w:lang w:val="en-US" w:eastAsia="zh-CN" w:bidi="ar-SA"/>
        </w:rPr>
      </w:pPr>
      <w:r>
        <w:rPr>
          <w:rFonts w:hint="default" w:ascii="Times New Roman" w:hAnsi="Times New Roman" w:eastAsia="宋体" w:cs="Times New Roman"/>
          <w:snapToGrid w:val="0"/>
          <w:color w:val="auto"/>
          <w:sz w:val="28"/>
          <w:szCs w:val="28"/>
          <w:lang w:eastAsia="zh-CN"/>
        </w:rPr>
        <w:t>进一步完善</w:t>
      </w:r>
      <w:r>
        <w:rPr>
          <w:rFonts w:hint="default" w:ascii="Times New Roman" w:hAnsi="Times New Roman" w:eastAsia="宋体" w:cs="Times New Roman"/>
          <w:snapToGrid w:val="0"/>
          <w:color w:val="auto"/>
          <w:sz w:val="28"/>
          <w:szCs w:val="28"/>
        </w:rPr>
        <w:t>国家水土保持重点治理项目</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图斑精细化</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监管，准确掌握水土保持重点治理工程建设进度、措施数量和实施效果。</w:t>
      </w:r>
      <w:r>
        <w:rPr>
          <w:rFonts w:hint="eastAsia" w:ascii="Times New Roman" w:hAnsi="Times New Roman" w:eastAsia="宋体" w:cs="Times New Roman"/>
          <w:snapToGrid w:val="0"/>
          <w:color w:val="auto"/>
          <w:kern w:val="2"/>
          <w:sz w:val="28"/>
          <w:szCs w:val="28"/>
          <w:lang w:val="en-US" w:eastAsia="zh-CN" w:bidi="ar-SA"/>
        </w:rPr>
        <w:t>重点</w:t>
      </w:r>
      <w:r>
        <w:rPr>
          <w:rFonts w:hint="default" w:ascii="Times New Roman" w:hAnsi="Times New Roman" w:eastAsia="宋体" w:cs="Times New Roman"/>
          <w:snapToGrid w:val="0"/>
          <w:color w:val="auto"/>
          <w:kern w:val="2"/>
          <w:sz w:val="28"/>
          <w:szCs w:val="28"/>
          <w:lang w:val="en-US" w:eastAsia="zh-CN" w:bidi="ar-SA"/>
        </w:rPr>
        <w:t>加强项目跟踪检查力度，其中省级水行政主管部门每年随机抽取10%的在建项目，以及本级负责竣工验收、市县完成竣工验收各30%的项目，对实施措施逐个图班进行现场复核。</w:t>
      </w:r>
    </w:p>
    <w:p w14:paraId="797B795C">
      <w:pPr>
        <w:numPr>
          <w:ilvl w:val="0"/>
          <w:numId w:val="0"/>
        </w:numPr>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6</w:t>
      </w:r>
      <w:r>
        <w:rPr>
          <w:rFonts w:hint="default" w:ascii="Times New Roman" w:hAnsi="Times New Roman" w:eastAsia="宋体" w:cs="Times New Roman"/>
          <w:color w:val="auto"/>
          <w:sz w:val="28"/>
          <w:szCs w:val="28"/>
          <w:lang w:val="en-US" w:eastAsia="zh-CN"/>
        </w:rPr>
        <w:t>）</w:t>
      </w:r>
      <w:r>
        <w:rPr>
          <w:rFonts w:hint="eastAsia" w:ascii="Times New Roman" w:hAnsi="Times New Roman" w:eastAsia="宋体" w:cs="Times New Roman"/>
          <w:color w:val="auto"/>
          <w:sz w:val="28"/>
          <w:szCs w:val="28"/>
          <w:lang w:val="en-US" w:eastAsia="zh-CN"/>
        </w:rPr>
        <w:t>全面做好生产建设项目事前事中事后监管</w:t>
      </w:r>
    </w:p>
    <w:p w14:paraId="7F35D3D5">
      <w:pPr>
        <w:ind w:firstLine="560" w:firstLineChars="200"/>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lang w:val="en-US" w:eastAsia="zh-CN"/>
        </w:rPr>
        <w:t>进一步完善生产建设项目水土保持监管数据库，依托贵州省水土保持大数据系统和天地一体化，加强生产建设</w:t>
      </w:r>
      <w:r>
        <w:rPr>
          <w:rFonts w:hint="eastAsia" w:ascii="Times New Roman" w:hAnsi="Times New Roman" w:eastAsia="宋体" w:cs="Times New Roman"/>
          <w:snapToGrid w:val="0"/>
          <w:color w:val="auto"/>
          <w:sz w:val="28"/>
          <w:szCs w:val="28"/>
          <w:lang w:val="en-US" w:eastAsia="zh-CN"/>
        </w:rPr>
        <w:t>项目事前事中事后监管</w:t>
      </w:r>
      <w:r>
        <w:rPr>
          <w:rFonts w:hint="default" w:ascii="Times New Roman" w:hAnsi="Times New Roman" w:eastAsia="宋体" w:cs="Times New Roman"/>
          <w:snapToGrid w:val="0"/>
          <w:color w:val="auto"/>
          <w:sz w:val="28"/>
          <w:szCs w:val="28"/>
          <w:lang w:val="en-US" w:eastAsia="zh-CN"/>
        </w:rPr>
        <w:t>。</w:t>
      </w:r>
      <w:r>
        <w:rPr>
          <w:rFonts w:hint="eastAsia" w:ascii="Times New Roman" w:hAnsi="Times New Roman" w:eastAsia="宋体" w:cs="Times New Roman"/>
          <w:snapToGrid w:val="0"/>
          <w:color w:val="auto"/>
          <w:sz w:val="28"/>
          <w:szCs w:val="28"/>
          <w:lang w:val="en-US" w:eastAsia="zh-CN"/>
        </w:rPr>
        <w:t>不断提高水土保持方案编报率、审批率，力争方案编报率达到90%以上、审批率达到95%以上。健全水行政执法与刑事司法衔接机制，联合公安、检察等部门开展典型违法项目查处，力争违法案件逐年减少，案件查处率达100%。通过政府采购，委托第三方机构每年开展1~3起违法事实鉴定，作为典型违法案件向社会公布。</w:t>
      </w:r>
    </w:p>
    <w:p w14:paraId="65EA130A">
      <w:pPr>
        <w:ind w:firstLine="560" w:firstLineChars="200"/>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rPr>
        <w:t>水行政主管部门应当建立健全水土保持日常检查制度。</w:t>
      </w:r>
      <w:r>
        <w:rPr>
          <w:rFonts w:hint="default" w:ascii="Times New Roman" w:hAnsi="Times New Roman" w:eastAsia="宋体" w:cs="Times New Roman"/>
          <w:snapToGrid w:val="0"/>
          <w:color w:val="auto"/>
          <w:sz w:val="28"/>
          <w:szCs w:val="28"/>
          <w:lang w:eastAsia="zh-CN"/>
        </w:rPr>
        <w:t>其中</w:t>
      </w:r>
      <w:r>
        <w:rPr>
          <w:rFonts w:hint="default" w:ascii="Times New Roman" w:hAnsi="Times New Roman" w:eastAsia="宋体" w:cs="Times New Roman"/>
          <w:snapToGrid w:val="0"/>
          <w:color w:val="auto"/>
          <w:sz w:val="28"/>
          <w:szCs w:val="28"/>
        </w:rPr>
        <w:t>省级水行政主管部门每年现场检查项目数量应当不少于本级及位直接上级审批水土保持方案的在建生产建设项目的20%</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市级水行政主管部门每年现场检查项目数量应当不少于本级及上级审批水土保持方案的在建生产建设项目的40%</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县级水行政主管部门要对辖区内所有在建生产建设项目进行现场检查，每年至少检查一次。</w:t>
      </w:r>
      <w:r>
        <w:rPr>
          <w:rFonts w:hint="default" w:ascii="Times New Roman" w:hAnsi="Times New Roman" w:eastAsia="宋体" w:cs="Times New Roman"/>
          <w:snapToGrid w:val="0"/>
          <w:color w:val="auto"/>
          <w:sz w:val="28"/>
          <w:szCs w:val="28"/>
          <w:lang w:val="en-US" w:eastAsia="zh-CN"/>
        </w:rPr>
        <w:t>要</w:t>
      </w:r>
      <w:r>
        <w:rPr>
          <w:rFonts w:hint="eastAsia" w:ascii="Times New Roman" w:hAnsi="Times New Roman" w:eastAsia="宋体" w:cs="Times New Roman"/>
          <w:snapToGrid w:val="0"/>
          <w:color w:val="auto"/>
          <w:sz w:val="28"/>
          <w:szCs w:val="28"/>
          <w:lang w:val="en-US" w:eastAsia="zh-CN"/>
        </w:rPr>
        <w:t>充分</w:t>
      </w:r>
      <w:r>
        <w:rPr>
          <w:rFonts w:hint="default" w:ascii="Times New Roman" w:hAnsi="Times New Roman" w:eastAsia="宋体" w:cs="Times New Roman"/>
          <w:snapToGrid w:val="0"/>
          <w:color w:val="auto"/>
          <w:sz w:val="28"/>
          <w:szCs w:val="28"/>
          <w:lang w:val="en-US" w:eastAsia="zh-CN"/>
        </w:rPr>
        <w:t>利用无人机和移动终端</w:t>
      </w:r>
      <w:r>
        <w:rPr>
          <w:rFonts w:hint="default" w:ascii="Times New Roman" w:hAnsi="Times New Roman" w:cs="Times New Roman"/>
          <w:snapToGrid w:val="0"/>
          <w:color w:val="auto"/>
          <w:sz w:val="28"/>
          <w:szCs w:val="28"/>
          <w:lang w:val="en-US" w:eastAsia="zh-CN"/>
        </w:rPr>
        <w:t>，</w:t>
      </w:r>
      <w:r>
        <w:rPr>
          <w:rFonts w:hint="default" w:ascii="Times New Roman" w:hAnsi="Times New Roman" w:eastAsia="宋体" w:cs="Times New Roman"/>
          <w:snapToGrid w:val="0"/>
          <w:color w:val="auto"/>
          <w:sz w:val="28"/>
          <w:szCs w:val="28"/>
          <w:lang w:val="en-US" w:eastAsia="zh-CN"/>
        </w:rPr>
        <w:t>核定是否符合审批的水土保持方案要求</w:t>
      </w:r>
      <w:r>
        <w:rPr>
          <w:rFonts w:hint="eastAsia" w:ascii="Times New Roman" w:hAnsi="Times New Roman" w:eastAsia="宋体" w:cs="Times New Roman"/>
          <w:snapToGrid w:val="0"/>
          <w:color w:val="auto"/>
          <w:sz w:val="28"/>
          <w:szCs w:val="28"/>
          <w:lang w:val="en-US" w:eastAsia="zh-CN"/>
        </w:rPr>
        <w:t>，是否缴纳水土保持补偿费</w:t>
      </w:r>
      <w:r>
        <w:rPr>
          <w:rFonts w:hint="default" w:ascii="Times New Roman" w:hAnsi="Times New Roman" w:eastAsia="宋体" w:cs="Times New Roman"/>
          <w:snapToGrid w:val="0"/>
          <w:color w:val="auto"/>
          <w:sz w:val="28"/>
          <w:szCs w:val="28"/>
          <w:lang w:val="en-US" w:eastAsia="zh-CN"/>
        </w:rPr>
        <w:t>。对认定的违法违规问题，依据《生产建设项目水土保持监督管理办法》依法依规查处</w:t>
      </w:r>
      <w:r>
        <w:rPr>
          <w:rFonts w:hint="default" w:ascii="Times New Roman" w:hAnsi="Times New Roman" w:cs="Times New Roman"/>
          <w:snapToGrid w:val="0"/>
          <w:color w:val="auto"/>
          <w:sz w:val="28"/>
          <w:szCs w:val="28"/>
          <w:lang w:val="en-US" w:eastAsia="zh-CN"/>
        </w:rPr>
        <w:t>，</w:t>
      </w:r>
      <w:r>
        <w:rPr>
          <w:rFonts w:hint="default" w:ascii="Times New Roman" w:hAnsi="Times New Roman" w:eastAsia="宋体" w:cs="Times New Roman"/>
          <w:snapToGrid w:val="0"/>
          <w:color w:val="auto"/>
          <w:sz w:val="28"/>
          <w:szCs w:val="28"/>
          <w:lang w:val="en-US" w:eastAsia="zh-CN"/>
        </w:rPr>
        <w:t>涉及相关主管部门履职中存在的问题</w:t>
      </w:r>
      <w:r>
        <w:rPr>
          <w:rFonts w:hint="default" w:ascii="Times New Roman" w:hAnsi="Times New Roman" w:cs="Times New Roman"/>
          <w:snapToGrid w:val="0"/>
          <w:color w:val="auto"/>
          <w:sz w:val="28"/>
          <w:szCs w:val="28"/>
          <w:lang w:val="en-US" w:eastAsia="zh-CN"/>
        </w:rPr>
        <w:t>，</w:t>
      </w:r>
      <w:r>
        <w:rPr>
          <w:rFonts w:hint="default" w:ascii="Times New Roman" w:hAnsi="Times New Roman" w:eastAsia="宋体" w:cs="Times New Roman"/>
          <w:snapToGrid w:val="0"/>
          <w:color w:val="auto"/>
          <w:sz w:val="28"/>
          <w:szCs w:val="28"/>
          <w:lang w:val="en-US" w:eastAsia="zh-CN"/>
        </w:rPr>
        <w:t>应按管理权限由有关部门迫究相关单位和人员的责任。</w:t>
      </w:r>
    </w:p>
    <w:p w14:paraId="158FAEF1">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val="en-US" w:eastAsia="zh-CN"/>
        </w:rPr>
        <w:t>（</w:t>
      </w:r>
      <w:r>
        <w:rPr>
          <w:rFonts w:hint="eastAsia" w:ascii="Times New Roman" w:hAnsi="Times New Roman" w:cs="Times New Roman"/>
          <w:snapToGrid w:val="0"/>
          <w:color w:val="auto"/>
          <w:sz w:val="28"/>
          <w:szCs w:val="28"/>
          <w:lang w:val="en-US" w:eastAsia="zh-CN"/>
        </w:rPr>
        <w:t>7</w:t>
      </w:r>
      <w:r>
        <w:rPr>
          <w:rFonts w:hint="default" w:ascii="Times New Roman" w:hAnsi="Times New Roman" w:eastAsia="宋体" w:cs="Times New Roman"/>
          <w:snapToGrid w:val="0"/>
          <w:color w:val="auto"/>
          <w:sz w:val="28"/>
          <w:szCs w:val="28"/>
          <w:lang w:val="en-US" w:eastAsia="zh-CN"/>
        </w:rPr>
        <w:t>）</w:t>
      </w:r>
      <w:r>
        <w:rPr>
          <w:rFonts w:hint="eastAsia" w:ascii="Times New Roman" w:hAnsi="Times New Roman" w:eastAsia="宋体" w:cs="Times New Roman"/>
          <w:snapToGrid w:val="0"/>
          <w:color w:val="auto"/>
          <w:sz w:val="28"/>
          <w:szCs w:val="28"/>
        </w:rPr>
        <w:t>全面推进</w:t>
      </w:r>
      <w:r>
        <w:rPr>
          <w:rFonts w:hint="default" w:ascii="Times New Roman" w:hAnsi="Times New Roman" w:eastAsia="宋体" w:cs="Times New Roman"/>
          <w:snapToGrid w:val="0"/>
          <w:color w:val="auto"/>
          <w:sz w:val="28"/>
          <w:szCs w:val="28"/>
        </w:rPr>
        <w:t>水土保持信用监管和社会监督</w:t>
      </w:r>
    </w:p>
    <w:p w14:paraId="1A0B3AD4">
      <w:pPr>
        <w:ind w:firstLine="549"/>
        <w:rPr>
          <w:rFonts w:hint="eastAsia" w:eastAsia="宋体"/>
          <w:color w:val="auto"/>
          <w:lang w:eastAsia="zh-CN"/>
        </w:rPr>
      </w:pPr>
      <w:r>
        <w:rPr>
          <w:rFonts w:hint="eastAsia" w:ascii="Times New Roman" w:hAnsi="Times New Roman" w:eastAsia="宋体" w:cs="Times New Roman"/>
          <w:snapToGrid w:val="0"/>
          <w:color w:val="auto"/>
          <w:sz w:val="28"/>
          <w:szCs w:val="28"/>
          <w:lang w:eastAsia="zh-CN"/>
        </w:rPr>
        <w:t>按照</w:t>
      </w:r>
      <w:r>
        <w:rPr>
          <w:rFonts w:hint="default" w:ascii="Times New Roman" w:hAnsi="Times New Roman" w:eastAsia="宋体" w:cs="Times New Roman"/>
          <w:snapToGrid w:val="0"/>
          <w:color w:val="auto"/>
          <w:sz w:val="28"/>
          <w:szCs w:val="28"/>
        </w:rPr>
        <w:t>生产建设项目监督管理办法和水土保持责任追究相关办法</w:t>
      </w:r>
      <w:r>
        <w:rPr>
          <w:rFonts w:hint="eastAsia" w:ascii="Times New Roman" w:hAnsi="Times New Roman" w:eastAsia="宋体" w:cs="Times New Roman"/>
          <w:snapToGrid w:val="0"/>
          <w:color w:val="auto"/>
          <w:sz w:val="28"/>
          <w:szCs w:val="28"/>
          <w:lang w:eastAsia="zh-CN"/>
        </w:rPr>
        <w:t>要求，每年将相关</w:t>
      </w:r>
      <w:r>
        <w:rPr>
          <w:rFonts w:hint="default" w:ascii="Times New Roman" w:hAnsi="Times New Roman" w:eastAsia="宋体" w:cs="Times New Roman"/>
          <w:snapToGrid w:val="0"/>
          <w:color w:val="auto"/>
          <w:sz w:val="28"/>
          <w:szCs w:val="28"/>
        </w:rPr>
        <w:t>违法违规情形列入水土保持</w:t>
      </w:r>
      <w:r>
        <w:rPr>
          <w:rFonts w:hint="eastAsia" w:ascii="Times New Roman" w:hAnsi="Times New Roman" w:eastAsia="宋体" w:cs="Times New Roman"/>
          <w:snapToGrid w:val="0"/>
          <w:color w:val="auto"/>
          <w:sz w:val="28"/>
          <w:szCs w:val="28"/>
        </w:rPr>
        <w:t>“</w:t>
      </w:r>
      <w:r>
        <w:rPr>
          <w:rFonts w:hint="default" w:ascii="Times New Roman" w:hAnsi="Times New Roman" w:eastAsia="宋体" w:cs="Times New Roman"/>
          <w:snapToGrid w:val="0"/>
          <w:color w:val="auto"/>
          <w:sz w:val="28"/>
          <w:szCs w:val="28"/>
        </w:rPr>
        <w:t>重点关注名单</w:t>
      </w:r>
      <w:r>
        <w:rPr>
          <w:rFonts w:hint="eastAsia" w:ascii="Times New Roman" w:hAnsi="Times New Roman" w:eastAsia="宋体" w:cs="Times New Roman"/>
          <w:snapToGrid w:val="0"/>
          <w:color w:val="auto"/>
          <w:sz w:val="28"/>
          <w:szCs w:val="28"/>
        </w:rPr>
        <w:t>”</w:t>
      </w:r>
      <w:r>
        <w:rPr>
          <w:rFonts w:hint="default" w:ascii="Times New Roman" w:hAnsi="Times New Roman" w:eastAsia="宋体" w:cs="Times New Roman"/>
          <w:snapToGrid w:val="0"/>
          <w:color w:val="auto"/>
          <w:sz w:val="28"/>
          <w:szCs w:val="28"/>
        </w:rPr>
        <w:t>或者</w:t>
      </w:r>
      <w:r>
        <w:rPr>
          <w:rFonts w:hint="eastAsia" w:ascii="Times New Roman" w:hAnsi="Times New Roman" w:eastAsia="宋体" w:cs="Times New Roman"/>
          <w:snapToGrid w:val="0"/>
          <w:color w:val="auto"/>
          <w:sz w:val="28"/>
          <w:szCs w:val="28"/>
        </w:rPr>
        <w:t>“</w:t>
      </w:r>
      <w:r>
        <w:rPr>
          <w:rFonts w:hint="default" w:ascii="Times New Roman" w:hAnsi="Times New Roman" w:eastAsia="宋体" w:cs="Times New Roman"/>
          <w:snapToGrid w:val="0"/>
          <w:color w:val="auto"/>
          <w:sz w:val="28"/>
          <w:szCs w:val="28"/>
        </w:rPr>
        <w:t>失信黑名单</w:t>
      </w:r>
      <w:r>
        <w:rPr>
          <w:rFonts w:hint="eastAsia" w:ascii="Times New Roman" w:hAnsi="Times New Roman" w:eastAsia="宋体" w:cs="Times New Roman"/>
          <w:snapToGrid w:val="0"/>
          <w:color w:val="auto"/>
          <w:sz w:val="28"/>
          <w:szCs w:val="28"/>
        </w:rPr>
        <w:t>”</w:t>
      </w:r>
      <w:r>
        <w:rPr>
          <w:rFonts w:hint="eastAsia" w:ascii="Times New Roman" w:hAnsi="Times New Roman" w:eastAsia="宋体" w:cs="Times New Roman"/>
          <w:snapToGrid w:val="0"/>
          <w:color w:val="auto"/>
          <w:sz w:val="28"/>
          <w:szCs w:val="28"/>
          <w:lang w:eastAsia="zh-CN"/>
        </w:rPr>
        <w:t>，并给予公告。</w:t>
      </w:r>
    </w:p>
    <w:p w14:paraId="7C9F938B">
      <w:pPr>
        <w:ind w:firstLine="549"/>
        <w:rPr>
          <w:rFonts w:hint="default" w:ascii="Times New Roman" w:hAnsi="Times New Roman" w:eastAsia="宋体" w:cs="Times New Roman"/>
          <w:snapToGrid w:val="0"/>
          <w:color w:val="auto"/>
          <w:sz w:val="28"/>
          <w:szCs w:val="28"/>
        </w:rPr>
      </w:pP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8</w:t>
      </w:r>
      <w:r>
        <w:rPr>
          <w:rFonts w:hint="eastAsia" w:ascii="Times New Roman" w:hAnsi="Times New Roman" w:eastAsia="宋体" w:cs="Times New Roman"/>
          <w:snapToGrid w:val="0"/>
          <w:color w:val="auto"/>
          <w:sz w:val="28"/>
          <w:szCs w:val="28"/>
          <w:lang w:eastAsia="zh-CN"/>
        </w:rPr>
        <w:t>）探索水土保持区域评估</w:t>
      </w:r>
      <w:r>
        <w:rPr>
          <w:rFonts w:hint="default" w:ascii="Times New Roman" w:hAnsi="Times New Roman" w:eastAsia="宋体" w:cs="Times New Roman"/>
          <w:snapToGrid w:val="0"/>
          <w:color w:val="auto"/>
          <w:sz w:val="28"/>
          <w:szCs w:val="28"/>
          <w:lang w:eastAsia="zh-CN"/>
        </w:rPr>
        <w:t>制度</w:t>
      </w:r>
    </w:p>
    <w:p w14:paraId="6C47D816">
      <w:pPr>
        <w:ind w:firstLine="549"/>
        <w:rPr>
          <w:rFonts w:hint="eastAsia" w:ascii="Times New Roman" w:hAnsi="Times New Roman" w:eastAsia="宋体" w:cs="Times New Roman"/>
          <w:snapToGrid w:val="0"/>
          <w:color w:val="auto"/>
          <w:sz w:val="28"/>
          <w:szCs w:val="28"/>
          <w:lang w:eastAsia="zh-CN"/>
        </w:rPr>
      </w:pPr>
      <w:r>
        <w:rPr>
          <w:rFonts w:hint="eastAsia" w:ascii="Times New Roman" w:hAnsi="Times New Roman" w:eastAsia="宋体" w:cs="Times New Roman"/>
          <w:snapToGrid w:val="0"/>
          <w:color w:val="auto"/>
          <w:sz w:val="28"/>
          <w:szCs w:val="28"/>
          <w:lang w:eastAsia="zh-CN"/>
        </w:rPr>
        <w:t>结合我省开发区实际情况，选取</w:t>
      </w:r>
      <w:r>
        <w:rPr>
          <w:rFonts w:hint="eastAsia" w:ascii="Times New Roman" w:hAnsi="Times New Roman" w:eastAsia="宋体" w:cs="Times New Roman"/>
          <w:snapToGrid w:val="0"/>
          <w:color w:val="auto"/>
          <w:sz w:val="28"/>
          <w:szCs w:val="28"/>
          <w:lang w:val="en-US" w:eastAsia="zh-CN"/>
        </w:rPr>
        <w:t>3-5个</w:t>
      </w:r>
      <w:r>
        <w:rPr>
          <w:rFonts w:hint="eastAsia" w:ascii="Times New Roman" w:hAnsi="Times New Roman" w:eastAsia="宋体" w:cs="Times New Roman"/>
          <w:snapToGrid w:val="0"/>
          <w:color w:val="auto"/>
          <w:sz w:val="28"/>
          <w:szCs w:val="28"/>
          <w:lang w:eastAsia="zh-CN"/>
        </w:rPr>
        <w:t>具有代表性的开发区，</w:t>
      </w:r>
      <w:r>
        <w:rPr>
          <w:rFonts w:hint="eastAsia" w:ascii="Times New Roman" w:hAnsi="Times New Roman" w:eastAsia="宋体" w:cs="Times New Roman"/>
          <w:snapToGrid w:val="0"/>
          <w:color w:val="auto"/>
          <w:sz w:val="28"/>
          <w:szCs w:val="28"/>
          <w:lang w:val="en-US" w:eastAsia="zh-CN"/>
        </w:rPr>
        <w:t>开展区域评估制度推行效果后评估工作</w:t>
      </w:r>
      <w:r>
        <w:rPr>
          <w:rFonts w:hint="eastAsia" w:ascii="Times New Roman" w:hAnsi="Times New Roman" w:eastAsia="宋体" w:cs="Times New Roman"/>
          <w:snapToGrid w:val="0"/>
          <w:color w:val="auto"/>
          <w:sz w:val="28"/>
          <w:szCs w:val="28"/>
          <w:lang w:eastAsia="zh-CN"/>
        </w:rPr>
        <w:t>。</w:t>
      </w:r>
    </w:p>
    <w:p w14:paraId="49E4827A">
      <w:pPr>
        <w:ind w:firstLine="549"/>
        <w:rPr>
          <w:rFonts w:hint="eastAsia" w:ascii="Times New Roman" w:hAnsi="Times New Roman" w:eastAsia="宋体" w:cs="Times New Roman"/>
          <w:b w:val="0"/>
          <w:snapToGrid w:val="0"/>
          <w:color w:val="auto"/>
          <w:kern w:val="2"/>
          <w:sz w:val="28"/>
          <w:szCs w:val="28"/>
          <w:lang w:val="en-US" w:eastAsia="zh-CN" w:bidi="ar-SA"/>
        </w:rPr>
      </w:pPr>
      <w:r>
        <w:rPr>
          <w:rFonts w:hint="eastAsia" w:ascii="Times New Roman" w:hAnsi="Times New Roman" w:eastAsia="宋体" w:cs="Times New Roman"/>
          <w:b w:val="0"/>
          <w:snapToGrid w:val="0"/>
          <w:color w:val="auto"/>
          <w:kern w:val="2"/>
          <w:sz w:val="28"/>
          <w:szCs w:val="28"/>
          <w:lang w:val="en-US" w:eastAsia="zh-CN" w:bidi="ar-SA"/>
        </w:rPr>
        <w:t>（9）积极推动城市水土保持管理</w:t>
      </w:r>
    </w:p>
    <w:p w14:paraId="28CB60B0">
      <w:pPr>
        <w:ind w:firstLine="560" w:firstLineChars="200"/>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加强对城市建设过程中的弃土弃渣、建筑垃圾的管理和处置，防治弃土弃渣污染水源、堵塞河道，增强城市防洪、抗洪能力。选取1~3个城市周边的弃土弃渣场开展评估工作。</w:t>
      </w:r>
    </w:p>
    <w:p w14:paraId="1090D3A7">
      <w:pPr>
        <w:pStyle w:val="2"/>
        <w:rPr>
          <w:rFonts w:hint="eastAsia"/>
          <w:color w:val="auto"/>
          <w:lang w:val="en-US" w:eastAsia="zh-CN"/>
        </w:rPr>
      </w:pPr>
    </w:p>
    <w:p w14:paraId="461E97F6">
      <w:pPr>
        <w:pStyle w:val="2"/>
        <w:rPr>
          <w:rFonts w:hint="eastAsia"/>
          <w:color w:val="auto"/>
          <w:lang w:val="en-US" w:eastAsia="zh-CN"/>
        </w:rPr>
        <w:sectPr>
          <w:head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92D08A0">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204" w:name="_Toc28653"/>
      <w:bookmarkStart w:id="205" w:name="_Toc20605"/>
      <w:bookmarkStart w:id="206" w:name="_Toc11098"/>
      <w:r>
        <w:rPr>
          <w:rFonts w:hint="eastAsia" w:ascii="方正小标宋_GBK" w:hAnsi="Times New Roman" w:eastAsia="方正小标宋_GBK" w:cs="Times New Roman"/>
          <w:b/>
          <w:bCs w:val="0"/>
          <w:color w:val="auto"/>
          <w:kern w:val="44"/>
          <w:sz w:val="36"/>
          <w:szCs w:val="36"/>
          <w:lang w:val="en-US" w:eastAsia="zh-CN" w:bidi="ar-SA"/>
        </w:rPr>
        <w:t>第七章</w:t>
      </w:r>
      <w:r>
        <w:rPr>
          <w:rFonts w:hint="default" w:ascii="方正小标宋_GBK" w:hAnsi="Times New Roman" w:eastAsia="方正小标宋_GBK" w:cs="Times New Roman"/>
          <w:b/>
          <w:bCs w:val="0"/>
          <w:color w:val="auto"/>
          <w:kern w:val="44"/>
          <w:sz w:val="36"/>
          <w:szCs w:val="36"/>
          <w:lang w:val="en-US" w:eastAsia="zh-CN" w:bidi="ar-SA"/>
        </w:rPr>
        <w:t xml:space="preserve"> 水土保持监测</w:t>
      </w:r>
      <w:bookmarkEnd w:id="204"/>
      <w:bookmarkEnd w:id="205"/>
      <w:bookmarkEnd w:id="206"/>
    </w:p>
    <w:p w14:paraId="71B26177">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b w:val="0"/>
          <w:bCs w:val="0"/>
          <w:color w:val="auto"/>
          <w:sz w:val="28"/>
          <w:szCs w:val="28"/>
          <w:lang w:eastAsia="zh-CN"/>
        </w:rPr>
      </w:pPr>
      <w:r>
        <w:rPr>
          <w:rFonts w:ascii="Times New Roman" w:hAnsi="Times New Roman" w:cs="Times New Roman"/>
          <w:snapToGrid w:val="0"/>
          <w:color w:val="auto"/>
          <w:sz w:val="28"/>
          <w:szCs w:val="28"/>
        </w:rPr>
        <w:t>“十四五”期间，水土保持监测重点抓好</w:t>
      </w:r>
      <w:r>
        <w:rPr>
          <w:rFonts w:hint="eastAsia" w:ascii="Times New Roman" w:hAnsi="Times New Roman" w:cs="Times New Roman"/>
          <w:snapToGrid w:val="0"/>
          <w:color w:val="auto"/>
          <w:sz w:val="28"/>
          <w:szCs w:val="28"/>
          <w:lang w:val="en-US"/>
        </w:rPr>
        <w:t>监测网络建设、</w:t>
      </w:r>
      <w:r>
        <w:rPr>
          <w:rFonts w:ascii="Times New Roman" w:hAnsi="Times New Roman" w:cs="Times New Roman"/>
          <w:snapToGrid w:val="0"/>
          <w:color w:val="auto"/>
          <w:sz w:val="28"/>
          <w:szCs w:val="28"/>
          <w:lang w:val="en-US"/>
        </w:rPr>
        <w:t>监测站</w:t>
      </w:r>
      <w:r>
        <w:rPr>
          <w:rFonts w:hint="eastAsia" w:ascii="Times New Roman" w:hAnsi="Times New Roman" w:cs="Times New Roman"/>
          <w:snapToGrid w:val="0"/>
          <w:color w:val="auto"/>
          <w:sz w:val="28"/>
          <w:szCs w:val="28"/>
          <w:lang w:val="en-US"/>
        </w:rPr>
        <w:t>网管理、</w:t>
      </w:r>
      <w:r>
        <w:rPr>
          <w:rFonts w:ascii="Times New Roman" w:hAnsi="Times New Roman" w:cs="Times New Roman"/>
          <w:snapToGrid w:val="0"/>
          <w:color w:val="auto"/>
          <w:sz w:val="28"/>
          <w:szCs w:val="28"/>
          <w:lang w:val="en-US"/>
        </w:rPr>
        <w:t>水土保持普查与专项</w:t>
      </w:r>
      <w:r>
        <w:rPr>
          <w:rFonts w:hint="eastAsia" w:ascii="Times New Roman" w:hAnsi="Times New Roman" w:cs="Times New Roman"/>
          <w:snapToGrid w:val="0"/>
          <w:color w:val="auto"/>
          <w:sz w:val="28"/>
          <w:szCs w:val="28"/>
          <w:lang w:val="en-US"/>
        </w:rPr>
        <w:t>调查</w:t>
      </w:r>
      <w:r>
        <w:rPr>
          <w:rFonts w:ascii="Times New Roman" w:hAnsi="Times New Roman" w:cs="Times New Roman"/>
          <w:snapToGrid w:val="0"/>
          <w:color w:val="auto"/>
          <w:sz w:val="28"/>
          <w:szCs w:val="28"/>
          <w:lang w:val="en-US"/>
        </w:rPr>
        <w:t>，</w:t>
      </w:r>
      <w:r>
        <w:rPr>
          <w:rFonts w:ascii="Times New Roman" w:hAnsi="Times New Roman" w:cs="Times New Roman"/>
          <w:snapToGrid w:val="0"/>
          <w:color w:val="auto"/>
          <w:sz w:val="28"/>
          <w:szCs w:val="28"/>
        </w:rPr>
        <w:t>水土流失动态监测和公告</w:t>
      </w:r>
      <w:r>
        <w:rPr>
          <w:rFonts w:hint="eastAsia" w:ascii="Times New Roman" w:hAnsi="Times New Roman" w:cs="Times New Roman"/>
          <w:snapToGrid w:val="0"/>
          <w:color w:val="auto"/>
          <w:sz w:val="28"/>
          <w:szCs w:val="28"/>
        </w:rPr>
        <w:t>、</w:t>
      </w:r>
      <w:r>
        <w:rPr>
          <w:rFonts w:hint="eastAsia" w:ascii="Times New Roman" w:hAnsi="Times New Roman" w:cs="Times New Roman"/>
          <w:snapToGrid w:val="0"/>
          <w:color w:val="auto"/>
          <w:sz w:val="28"/>
          <w:szCs w:val="28"/>
          <w:lang w:val="en-US"/>
        </w:rPr>
        <w:t>重点区域监测</w:t>
      </w:r>
      <w:r>
        <w:rPr>
          <w:rFonts w:ascii="Times New Roman" w:hAnsi="Times New Roman" w:cs="Times New Roman"/>
          <w:snapToGrid w:val="0"/>
          <w:color w:val="auto"/>
          <w:sz w:val="28"/>
          <w:szCs w:val="28"/>
          <w:lang w:val="en-US"/>
        </w:rPr>
        <w:t>、</w:t>
      </w:r>
      <w:r>
        <w:rPr>
          <w:rFonts w:ascii="Times New Roman" w:hAnsi="Times New Roman" w:eastAsia="宋体" w:cs="Times New Roman"/>
          <w:b w:val="0"/>
          <w:bCs w:val="0"/>
          <w:color w:val="auto"/>
          <w:sz w:val="28"/>
          <w:szCs w:val="28"/>
          <w:lang w:eastAsia="zh-CN"/>
        </w:rPr>
        <w:t>国家水土保持重点工程</w:t>
      </w:r>
      <w:r>
        <w:rPr>
          <w:rFonts w:hint="eastAsia" w:ascii="Times New Roman" w:hAnsi="Times New Roman" w:eastAsia="宋体" w:cs="Times New Roman"/>
          <w:b w:val="0"/>
          <w:bCs w:val="0"/>
          <w:color w:val="auto"/>
          <w:sz w:val="28"/>
          <w:szCs w:val="28"/>
          <w:lang w:eastAsia="zh-CN"/>
        </w:rPr>
        <w:t>和</w:t>
      </w:r>
      <w:r>
        <w:rPr>
          <w:rFonts w:ascii="Times New Roman" w:hAnsi="Times New Roman" w:eastAsia="宋体" w:cs="Times New Roman"/>
          <w:b w:val="0"/>
          <w:bCs w:val="0"/>
          <w:color w:val="auto"/>
          <w:sz w:val="28"/>
          <w:szCs w:val="28"/>
          <w:lang w:eastAsia="zh-CN"/>
        </w:rPr>
        <w:t>生产建设项目水土保持监测管理</w:t>
      </w:r>
      <w:r>
        <w:rPr>
          <w:rFonts w:hint="eastAsia" w:ascii="Times New Roman" w:hAnsi="Times New Roman" w:cs="Times New Roman"/>
          <w:b w:val="0"/>
          <w:bCs w:val="0"/>
          <w:color w:val="auto"/>
          <w:sz w:val="28"/>
          <w:szCs w:val="28"/>
          <w:lang w:eastAsia="zh-CN"/>
        </w:rPr>
        <w:t>、</w:t>
      </w:r>
      <w:r>
        <w:rPr>
          <w:rFonts w:hint="eastAsia" w:ascii="Times New Roman" w:hAnsi="Times New Roman" w:cs="Times New Roman"/>
          <w:b w:val="0"/>
          <w:bCs w:val="0"/>
          <w:color w:val="auto"/>
          <w:sz w:val="28"/>
          <w:szCs w:val="28"/>
          <w:lang w:val="en-US" w:eastAsia="zh-CN"/>
        </w:rPr>
        <w:t>应急和案件查处监测、行业管理</w:t>
      </w:r>
      <w:r>
        <w:rPr>
          <w:rFonts w:hint="eastAsia" w:ascii="Times New Roman" w:hAnsi="Times New Roman" w:eastAsia="宋体" w:cs="Times New Roman"/>
          <w:b w:val="0"/>
          <w:bCs w:val="0"/>
          <w:color w:val="auto"/>
          <w:sz w:val="28"/>
          <w:szCs w:val="28"/>
          <w:lang w:eastAsia="zh-CN"/>
        </w:rPr>
        <w:t>等</w:t>
      </w:r>
      <w:r>
        <w:rPr>
          <w:rFonts w:hint="eastAsia" w:ascii="Times New Roman" w:hAnsi="Times New Roman" w:cs="Times New Roman"/>
          <w:b w:val="0"/>
          <w:bCs w:val="0"/>
          <w:color w:val="auto"/>
          <w:sz w:val="28"/>
          <w:szCs w:val="28"/>
          <w:lang w:val="en-US" w:eastAsia="zh-CN"/>
        </w:rPr>
        <w:t>工作</w:t>
      </w:r>
      <w:r>
        <w:rPr>
          <w:rFonts w:ascii="Times New Roman" w:hAnsi="Times New Roman" w:eastAsia="宋体" w:cs="Times New Roman"/>
          <w:b w:val="0"/>
          <w:bCs w:val="0"/>
          <w:color w:val="auto"/>
          <w:sz w:val="28"/>
          <w:szCs w:val="28"/>
          <w:lang w:eastAsia="zh-CN"/>
        </w:rPr>
        <w:t>，加强监测数据的社会化应用，</w:t>
      </w:r>
      <w:r>
        <w:rPr>
          <w:rFonts w:hint="eastAsia" w:ascii="Times New Roman" w:hAnsi="Times New Roman" w:cs="Times New Roman"/>
          <w:b w:val="0"/>
          <w:bCs w:val="0"/>
          <w:color w:val="auto"/>
          <w:sz w:val="28"/>
          <w:szCs w:val="28"/>
          <w:lang w:val="en-US" w:eastAsia="zh-CN"/>
        </w:rPr>
        <w:t>为水土保持行业管理提供科学有效</w:t>
      </w:r>
      <w:r>
        <w:rPr>
          <w:rFonts w:ascii="Times New Roman" w:hAnsi="Times New Roman" w:cs="Times New Roman"/>
          <w:b w:val="0"/>
          <w:bCs w:val="0"/>
          <w:color w:val="auto"/>
          <w:sz w:val="28"/>
          <w:szCs w:val="28"/>
          <w:lang w:val="en-US" w:eastAsia="zh-CN"/>
        </w:rPr>
        <w:t>技术</w:t>
      </w:r>
      <w:r>
        <w:rPr>
          <w:rFonts w:hint="eastAsia" w:ascii="Times New Roman" w:hAnsi="Times New Roman" w:cs="Times New Roman"/>
          <w:b w:val="0"/>
          <w:bCs w:val="0"/>
          <w:color w:val="auto"/>
          <w:sz w:val="28"/>
          <w:szCs w:val="28"/>
          <w:lang w:val="en-US" w:eastAsia="zh-CN"/>
        </w:rPr>
        <w:t>支撑</w:t>
      </w:r>
      <w:r>
        <w:rPr>
          <w:rFonts w:ascii="Times New Roman" w:hAnsi="Times New Roman" w:eastAsia="宋体" w:cs="Times New Roman"/>
          <w:b w:val="0"/>
          <w:bCs w:val="0"/>
          <w:color w:val="auto"/>
          <w:sz w:val="28"/>
          <w:szCs w:val="28"/>
          <w:lang w:eastAsia="zh-CN"/>
        </w:rPr>
        <w:t>。</w:t>
      </w:r>
    </w:p>
    <w:p w14:paraId="004C587A">
      <w:pPr>
        <w:pStyle w:val="7"/>
        <w:bidi w:val="0"/>
        <w:rPr>
          <w:rFonts w:hint="eastAsia" w:ascii="黑体" w:hAnsi="黑体" w:eastAsia="黑体" w:cs="黑体"/>
          <w:color w:val="auto"/>
          <w:sz w:val="32"/>
          <w:szCs w:val="32"/>
          <w:lang w:val="en-US" w:eastAsia="zh-CN"/>
        </w:rPr>
      </w:pPr>
      <w:bookmarkStart w:id="207" w:name="_Toc8602"/>
      <w:bookmarkStart w:id="208" w:name="_Toc29243"/>
      <w:r>
        <w:rPr>
          <w:rFonts w:hint="eastAsia" w:ascii="黑体" w:hAnsi="黑体" w:eastAsia="黑体" w:cs="黑体"/>
          <w:color w:val="auto"/>
          <w:sz w:val="32"/>
          <w:szCs w:val="32"/>
          <w:lang w:val="en-US" w:eastAsia="zh-CN"/>
        </w:rPr>
        <w:t>一、监测网络建设</w:t>
      </w:r>
      <w:bookmarkEnd w:id="207"/>
      <w:bookmarkEnd w:id="208"/>
    </w:p>
    <w:p w14:paraId="30C9DFA6">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cs="Times New Roman"/>
          <w:snapToGrid w:val="0"/>
          <w:color w:val="auto"/>
          <w:sz w:val="28"/>
          <w:szCs w:val="28"/>
          <w:lang w:val="en-US" w:eastAsia="zh-CN"/>
        </w:rPr>
      </w:pPr>
      <w:r>
        <w:rPr>
          <w:rFonts w:hint="default" w:ascii="Times New Roman" w:hAnsi="Times New Roman" w:cs="Times New Roman"/>
          <w:snapToGrid w:val="0"/>
          <w:color w:val="auto"/>
          <w:sz w:val="28"/>
          <w:szCs w:val="28"/>
          <w:lang w:val="en-US" w:eastAsia="zh-CN"/>
        </w:rPr>
        <w:t>水土保持监测网络由监测机构、水土保持监测点组成，其中水土保持监测点承担着长期性的地面观测任务，是全省水土保持监测站网主要数据来源。</w:t>
      </w:r>
    </w:p>
    <w:p w14:paraId="074FA0D9">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cs="Times New Roman"/>
          <w:snapToGrid w:val="0"/>
          <w:color w:val="auto"/>
          <w:sz w:val="28"/>
          <w:szCs w:val="28"/>
          <w:lang w:val="en-US" w:eastAsia="zh-CN"/>
        </w:rPr>
      </w:pPr>
      <w:r>
        <w:rPr>
          <w:rFonts w:ascii="Times New Roman" w:hAnsi="Times New Roman" w:cs="Times New Roman"/>
          <w:snapToGrid w:val="0"/>
          <w:color w:val="auto"/>
          <w:sz w:val="28"/>
          <w:szCs w:val="28"/>
          <w:lang w:val="en-US" w:eastAsia="zh-CN"/>
        </w:rPr>
        <w:t>（1）监测机构</w:t>
      </w:r>
    </w:p>
    <w:p w14:paraId="76135296">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cs="Times New Roman"/>
          <w:snapToGrid w:val="0"/>
          <w:color w:val="auto"/>
          <w:sz w:val="28"/>
          <w:szCs w:val="28"/>
          <w:lang w:val="en-US" w:eastAsia="zh-CN"/>
        </w:rPr>
      </w:pPr>
      <w:r>
        <w:rPr>
          <w:rFonts w:ascii="Times New Roman" w:hAnsi="Times New Roman" w:cs="Times New Roman"/>
          <w:snapToGrid w:val="0"/>
          <w:color w:val="auto"/>
          <w:sz w:val="28"/>
          <w:szCs w:val="28"/>
          <w:lang w:val="en-US" w:eastAsia="zh-CN"/>
        </w:rPr>
        <w:t>根据《中华人民共和国水土保持法》和《贵州省水土保持条例》，结合机构改革，在现有的省、市（州）水土保持监测机构基础上，进一步完善全省水土保持监测体系，推进监测机构和队伍建设。</w:t>
      </w:r>
    </w:p>
    <w:p w14:paraId="660358B1">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cs="Times New Roman"/>
          <w:snapToGrid w:val="0"/>
          <w:color w:val="auto"/>
          <w:sz w:val="28"/>
          <w:szCs w:val="28"/>
          <w:lang w:val="en-US" w:eastAsia="zh-CN"/>
        </w:rPr>
      </w:pPr>
      <w:r>
        <w:rPr>
          <w:rFonts w:ascii="Times New Roman" w:hAnsi="Times New Roman" w:cs="Times New Roman"/>
          <w:snapToGrid w:val="0"/>
          <w:color w:val="auto"/>
          <w:sz w:val="28"/>
          <w:szCs w:val="28"/>
          <w:lang w:val="en-US" w:eastAsia="zh-CN"/>
        </w:rPr>
        <w:t>（2）水土保持监测点</w:t>
      </w:r>
    </w:p>
    <w:p w14:paraId="4D3279C7">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cs="Times New Roman"/>
          <w:snapToGrid w:val="0"/>
          <w:color w:val="auto"/>
          <w:sz w:val="28"/>
          <w:szCs w:val="28"/>
          <w:lang w:val="en-US" w:eastAsia="zh-CN"/>
        </w:rPr>
      </w:pPr>
      <w:r>
        <w:rPr>
          <w:rFonts w:ascii="Times New Roman" w:hAnsi="Times New Roman" w:cs="Times New Roman"/>
          <w:snapToGrid w:val="0"/>
          <w:color w:val="auto"/>
          <w:sz w:val="28"/>
          <w:szCs w:val="28"/>
          <w:lang w:val="en-US" w:eastAsia="zh-CN"/>
        </w:rPr>
        <w:t>水土保持监测点重要性分为重点站、一般站、共享站三类。按观测内容分为坡面径流场和小流域控制站和综合观测站三类。根据《全国水土保持监测站点优化布局工程可行性研究报告》，完善监测站点布局，加快监测点的</w:t>
      </w:r>
      <w:r>
        <w:rPr>
          <w:rFonts w:hint="eastAsia" w:ascii="Times New Roman" w:hAnsi="Times New Roman" w:cs="Times New Roman"/>
          <w:snapToGrid w:val="0"/>
          <w:color w:val="auto"/>
          <w:sz w:val="28"/>
          <w:szCs w:val="28"/>
          <w:lang w:val="en-US" w:eastAsia="zh-CN"/>
        </w:rPr>
        <w:t>自动化</w:t>
      </w:r>
      <w:r>
        <w:rPr>
          <w:rFonts w:ascii="Times New Roman" w:hAnsi="Times New Roman" w:cs="Times New Roman"/>
          <w:snapToGrid w:val="0"/>
          <w:color w:val="auto"/>
          <w:sz w:val="28"/>
          <w:szCs w:val="28"/>
          <w:lang w:val="en-US" w:eastAsia="zh-CN"/>
        </w:rPr>
        <w:t>升级改造，提升监测站点现代化水平，运用科学先进的监测手段和智能化设备，做好标准化管理；加强运行维护，及时做好监测数据的整编工作，提高监测成果转化率。</w:t>
      </w:r>
    </w:p>
    <w:p w14:paraId="60F9BD06">
      <w:pPr>
        <w:pStyle w:val="7"/>
        <w:bidi w:val="0"/>
        <w:rPr>
          <w:rFonts w:hint="eastAsia" w:ascii="黑体" w:hAnsi="黑体" w:eastAsia="黑体" w:cs="黑体"/>
          <w:color w:val="auto"/>
          <w:sz w:val="32"/>
          <w:szCs w:val="32"/>
          <w:lang w:val="en-US" w:eastAsia="zh-CN"/>
        </w:rPr>
      </w:pPr>
      <w:bookmarkStart w:id="209" w:name="_Toc27714"/>
      <w:bookmarkStart w:id="210" w:name="_Toc29826"/>
      <w:bookmarkStart w:id="211" w:name="_Toc462316921"/>
      <w:bookmarkStart w:id="212" w:name="_Toc475006271"/>
      <w:bookmarkStart w:id="213" w:name="_Toc30905"/>
      <w:r>
        <w:rPr>
          <w:rFonts w:hint="eastAsia" w:ascii="黑体" w:hAnsi="黑体" w:eastAsia="黑体" w:cs="黑体"/>
          <w:color w:val="auto"/>
          <w:sz w:val="32"/>
          <w:szCs w:val="32"/>
          <w:lang w:val="en-US" w:eastAsia="zh-CN"/>
        </w:rPr>
        <w:t>二、监测站网管理</w:t>
      </w:r>
      <w:bookmarkEnd w:id="209"/>
      <w:bookmarkEnd w:id="210"/>
    </w:p>
    <w:p w14:paraId="169C0447">
      <w:pPr>
        <w:adjustRightInd w:val="0"/>
        <w:spacing w:after="0" w:line="360" w:lineRule="auto"/>
        <w:ind w:firstLine="560"/>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lang w:val="en-US" w:eastAsia="zh-CN"/>
        </w:rPr>
        <w:t>1</w:t>
      </w:r>
      <w:r>
        <w:rPr>
          <w:rFonts w:ascii="Times New Roman" w:hAnsi="Times New Roman" w:eastAsia="宋体" w:cs="Times New Roman"/>
          <w:color w:val="auto"/>
          <w:sz w:val="28"/>
          <w:szCs w:val="28"/>
          <w:lang w:eastAsia="zh-CN"/>
        </w:rPr>
        <w:t>）切实加强水土保持监测的组织领导。主要领导亲自抓，把监测工作作为重要工作，加强研究和推进。省级</w:t>
      </w:r>
      <w:r>
        <w:rPr>
          <w:rFonts w:ascii="Times New Roman" w:hAnsi="Times New Roman" w:eastAsia="宋体" w:cs="Times New Roman"/>
          <w:color w:val="auto"/>
          <w:sz w:val="28"/>
          <w:szCs w:val="28"/>
          <w:lang w:val="en-US" w:eastAsia="zh-CN"/>
        </w:rPr>
        <w:t>部门</w:t>
      </w:r>
      <w:r>
        <w:rPr>
          <w:rFonts w:ascii="Times New Roman" w:hAnsi="Times New Roman" w:eastAsia="宋体" w:cs="Times New Roman"/>
          <w:color w:val="auto"/>
          <w:sz w:val="28"/>
          <w:szCs w:val="28"/>
          <w:lang w:eastAsia="zh-CN"/>
        </w:rPr>
        <w:t>应完善顶层设计，全面落实责任，加强督促检查和考核评估。制订水土保持监测总体实施方案和技术路线，强化对水土保持监测工作的指导检查，将水土保持监测工作纳入业务绩效管理范畴，对所属水土保持监测机构履职尽责情况实施定期考核。</w:t>
      </w:r>
    </w:p>
    <w:p w14:paraId="7C18E672">
      <w:pPr>
        <w:adjustRightInd w:val="0"/>
        <w:spacing w:after="0" w:line="360" w:lineRule="auto"/>
        <w:ind w:firstLine="560"/>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lang w:val="en-US" w:eastAsia="zh-CN"/>
        </w:rPr>
        <w:t>2</w:t>
      </w:r>
      <w:r>
        <w:rPr>
          <w:rFonts w:ascii="Times New Roman" w:hAnsi="Times New Roman" w:eastAsia="宋体" w:cs="Times New Roman"/>
          <w:color w:val="auto"/>
          <w:sz w:val="28"/>
          <w:szCs w:val="28"/>
          <w:lang w:eastAsia="zh-CN"/>
        </w:rPr>
        <w:t>）加强水土保持监测机构和队伍建设。有条件的市县，要落实《水土保持法》“县级以上人民政府水行政主管部门应当加强水土保持监测工作”的要求，搞好水土保持监测工作。根据社会发展的需求，结合事业单位分类改革，有序推进水土保持监测机构向公益性机构转型。加强监测培训和锻炼，不断提高队伍的综合素质和能力。适时开展全省水土保持监测规范化能力建设活动，重点对各级监测机构的履职能力、保障能力、业务能力等进行全面规范提升。</w:t>
      </w:r>
    </w:p>
    <w:p w14:paraId="09F04F61">
      <w:pPr>
        <w:adjustRightInd w:val="0"/>
        <w:spacing w:after="0" w:line="360" w:lineRule="auto"/>
        <w:ind w:firstLine="560"/>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lang w:val="en-US" w:eastAsia="zh-CN"/>
        </w:rPr>
        <w:t>3</w:t>
      </w:r>
      <w:r>
        <w:rPr>
          <w:rFonts w:ascii="Times New Roman" w:hAnsi="Times New Roman" w:eastAsia="宋体" w:cs="Times New Roman"/>
          <w:color w:val="auto"/>
          <w:sz w:val="28"/>
          <w:szCs w:val="28"/>
          <w:lang w:eastAsia="zh-CN"/>
        </w:rPr>
        <w:t>）加强经费保障</w:t>
      </w:r>
      <w:r>
        <w:rPr>
          <w:rFonts w:ascii="Times New Roman" w:hAnsi="Times New Roman" w:eastAsia="宋体" w:cs="Times New Roman"/>
          <w:color w:val="auto"/>
          <w:sz w:val="28"/>
          <w:szCs w:val="28"/>
          <w:lang w:val="en-US" w:eastAsia="zh-CN"/>
        </w:rPr>
        <w:t>。</w:t>
      </w:r>
      <w:r>
        <w:rPr>
          <w:rFonts w:ascii="Times New Roman" w:hAnsi="Times New Roman" w:eastAsia="宋体" w:cs="Times New Roman"/>
          <w:color w:val="auto"/>
          <w:sz w:val="28"/>
          <w:szCs w:val="28"/>
          <w:lang w:eastAsia="zh-CN"/>
        </w:rPr>
        <w:t>落实水土保持法要求的“县级以上人民政府应当保障水土保持监测工作经费”的规定，根据事权划分和财政要求，积极争取政府和财政部门的支持，推动依法落实水土保持监测经费，保证监测工作的正常开展和监测点的建设及运行。</w:t>
      </w:r>
    </w:p>
    <w:p w14:paraId="4F56EB0F">
      <w:pPr>
        <w:adjustRightInd w:val="0"/>
        <w:spacing w:after="0" w:line="360" w:lineRule="auto"/>
        <w:ind w:firstLine="560"/>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lang w:val="en-US" w:eastAsia="zh-CN"/>
        </w:rPr>
        <w:t>4</w:t>
      </w:r>
      <w:r>
        <w:rPr>
          <w:rFonts w:ascii="Times New Roman" w:hAnsi="Times New Roman" w:eastAsia="宋体" w:cs="Times New Roman"/>
          <w:color w:val="auto"/>
          <w:sz w:val="28"/>
          <w:szCs w:val="28"/>
          <w:lang w:eastAsia="zh-CN"/>
        </w:rPr>
        <w:t>）加强科技创新。积极引导相关科研院所、大专院校和政策研究等机构联合攻关，研究解决水土保持监测关键技术和问题。加强科技创新，依托现代科学技术最新成果、卫星遥感高新技术、先进装备与仪器设备、高水平信息化平台，不断提高水土保持监测水平。</w:t>
      </w:r>
    </w:p>
    <w:p w14:paraId="30E7ED63">
      <w:pPr>
        <w:adjustRightInd w:val="0"/>
        <w:spacing w:after="0" w:line="360" w:lineRule="auto"/>
        <w:ind w:firstLine="560"/>
        <w:rPr>
          <w:rFonts w:ascii="Times New Roman" w:hAnsi="Times New Roman" w:eastAsia="宋体" w:cs="Times New Roman"/>
          <w:color w:val="auto"/>
          <w:sz w:val="28"/>
          <w:szCs w:val="28"/>
          <w:lang w:val="en-US" w:eastAsia="zh-CN"/>
        </w:rPr>
      </w:pPr>
      <w:r>
        <w:rPr>
          <w:rFonts w:ascii="Times New Roman" w:hAnsi="Times New Roman" w:eastAsia="宋体" w:cs="Times New Roman"/>
          <w:color w:val="auto"/>
          <w:sz w:val="28"/>
          <w:szCs w:val="28"/>
          <w:lang w:val="en-US" w:eastAsia="zh-CN"/>
        </w:rPr>
        <w:t>（5）加强监测制度标准建设及成果管理。修订完善《贵州省水土保持站网运行管理规定(试行)》《贵州省水土保持监测工作年度考核办法》《贵州省水土保持监测站点观测数据管理办法》等，明确水土保持监测网络的定位、作用及建设管理要求。明确各级水行政主管部门及监测机构的监测组织、实施与成果管理职责，强化监测成果汇总整编、质量控制、成果审查、报送程序、发布应用及监督检查全过程规范化管理。深化开展监测评价，实现成果统一管理、共享共用。配合水利部完善水土保持监测技术标准，提高全省监测科学化、规范化水平。提升监测机构履职能力，突出监测主责主业，配强专业人才队伍，提高监测成果分析评价水平及转化应用能力。将生产建设项目水土保持监测全部纳入大数据系统管理，加大生产建设项目监测成果应用，通过“互联网＋”的方式，促进水土保持监测事业的发展。</w:t>
      </w:r>
    </w:p>
    <w:p w14:paraId="7489800E">
      <w:pPr>
        <w:pStyle w:val="7"/>
        <w:bidi w:val="0"/>
        <w:rPr>
          <w:rFonts w:hint="default" w:ascii="黑体" w:hAnsi="黑体" w:eastAsia="黑体" w:cs="黑体"/>
          <w:color w:val="auto"/>
          <w:sz w:val="32"/>
          <w:szCs w:val="32"/>
          <w:lang w:val="en-US" w:eastAsia="zh-CN"/>
        </w:rPr>
      </w:pPr>
      <w:bookmarkStart w:id="214" w:name="_Toc31297"/>
      <w:bookmarkStart w:id="215" w:name="_Toc17495"/>
      <w:r>
        <w:rPr>
          <w:rFonts w:hint="eastAsia" w:ascii="黑体" w:hAnsi="黑体" w:eastAsia="黑体" w:cs="黑体"/>
          <w:color w:val="auto"/>
          <w:sz w:val="32"/>
          <w:szCs w:val="32"/>
          <w:lang w:val="en-US" w:eastAsia="zh-CN"/>
        </w:rPr>
        <w:t>三、</w:t>
      </w:r>
      <w:bookmarkEnd w:id="214"/>
      <w:bookmarkStart w:id="216" w:name="_Toc27962"/>
      <w:bookmarkStart w:id="217" w:name="_Toc25547"/>
      <w:r>
        <w:rPr>
          <w:rFonts w:hint="default" w:ascii="黑体" w:hAnsi="黑体" w:eastAsia="黑体" w:cs="黑体"/>
          <w:color w:val="auto"/>
          <w:sz w:val="32"/>
          <w:szCs w:val="32"/>
          <w:lang w:val="en-US" w:eastAsia="zh-CN"/>
        </w:rPr>
        <w:t>水土保持</w:t>
      </w:r>
      <w:bookmarkEnd w:id="216"/>
      <w:r>
        <w:rPr>
          <w:rFonts w:hint="eastAsia" w:ascii="黑体" w:hAnsi="黑体" w:eastAsia="黑体" w:cs="黑体"/>
          <w:color w:val="auto"/>
          <w:sz w:val="32"/>
          <w:szCs w:val="32"/>
          <w:lang w:val="en-US" w:eastAsia="zh-CN"/>
        </w:rPr>
        <w:t>专项调查</w:t>
      </w:r>
      <w:bookmarkEnd w:id="215"/>
      <w:bookmarkEnd w:id="217"/>
    </w:p>
    <w:p w14:paraId="26F9A977">
      <w:pPr>
        <w:adjustRightInd w:val="0"/>
        <w:spacing w:after="0" w:line="360" w:lineRule="auto"/>
        <w:ind w:firstLine="560"/>
        <w:rPr>
          <w:rFonts w:hint="default"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根据坡耕地工作实际需要，不定期组织开展坡耕地、侵蚀沟等专项调查</w:t>
      </w:r>
      <w:r>
        <w:rPr>
          <w:rFonts w:hint="eastAsia" w:ascii="Times New Roman" w:hAnsi="Times New Roman" w:cs="Times New Roman"/>
          <w:color w:val="auto"/>
          <w:sz w:val="28"/>
          <w:szCs w:val="28"/>
          <w:lang w:eastAsia="zh-CN"/>
        </w:rPr>
        <w:t>。</w:t>
      </w:r>
      <w:r>
        <w:rPr>
          <w:rFonts w:ascii="Times New Roman" w:hAnsi="Times New Roman" w:cs="Times New Roman"/>
          <w:color w:val="auto"/>
          <w:sz w:val="28"/>
          <w:szCs w:val="28"/>
          <w:lang w:eastAsia="zh-CN"/>
        </w:rPr>
        <w:t>采用遥感、野外调查、统计分析和模型计算等多种手段和方法，查清水土流失的分布、面积和强度，以及各类水土保持措施的数量、分布和防治效益，更新全省水土保持基础数据库。</w:t>
      </w:r>
    </w:p>
    <w:p w14:paraId="3F43BB78">
      <w:pPr>
        <w:pStyle w:val="7"/>
        <w:bidi w:val="0"/>
        <w:rPr>
          <w:rFonts w:hint="default" w:ascii="黑体" w:hAnsi="黑体" w:eastAsia="黑体" w:cs="黑体"/>
          <w:color w:val="auto"/>
          <w:sz w:val="32"/>
          <w:szCs w:val="32"/>
          <w:lang w:val="en-US" w:eastAsia="zh-CN"/>
        </w:rPr>
      </w:pPr>
      <w:bookmarkStart w:id="218" w:name="_Toc5196"/>
      <w:bookmarkStart w:id="219" w:name="_Toc10334"/>
      <w:bookmarkStart w:id="220" w:name="_Toc26951"/>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val="en-US" w:eastAsia="zh-CN"/>
        </w:rPr>
        <w:t>水土流失动态监测与公告</w:t>
      </w:r>
      <w:bookmarkEnd w:id="218"/>
      <w:bookmarkEnd w:id="219"/>
      <w:bookmarkEnd w:id="220"/>
    </w:p>
    <w:p w14:paraId="00E04397">
      <w:pPr>
        <w:adjustRightInd w:val="0"/>
        <w:spacing w:after="0" w:line="360" w:lineRule="auto"/>
        <w:ind w:firstLine="560"/>
        <w:rPr>
          <w:rFonts w:hint="default"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依托全省水土保持监测网络，应用卫星遥感、地面观测、模型计算等方法和手段，不断优化技术路线和方法，提高监测精度，定期对全省水土流失进行动态监测，对水土流失影响因素、径流泥沙等进行常年性定位监测，摸清水土流失类型、分布、强度、危险程度动态变化情况</w:t>
      </w:r>
      <w:r>
        <w:rPr>
          <w:rFonts w:hint="eastAsia" w:ascii="Times New Roman" w:hAnsi="Times New Roman" w:cs="Times New Roman"/>
          <w:color w:val="auto"/>
          <w:sz w:val="28"/>
          <w:szCs w:val="28"/>
          <w:lang w:eastAsia="zh-CN"/>
        </w:rPr>
        <w:t>，每年</w:t>
      </w:r>
      <w:r>
        <w:rPr>
          <w:rFonts w:ascii="Times New Roman" w:hAnsi="Times New Roman" w:cs="Times New Roman"/>
          <w:color w:val="auto"/>
          <w:sz w:val="28"/>
          <w:szCs w:val="28"/>
          <w:lang w:eastAsia="zh-CN"/>
        </w:rPr>
        <w:t>发布水土保持公报，</w:t>
      </w:r>
      <w:r>
        <w:rPr>
          <w:rFonts w:hint="eastAsia" w:ascii="Times New Roman" w:hAnsi="Times New Roman" w:cs="Times New Roman"/>
          <w:color w:val="auto"/>
          <w:sz w:val="28"/>
          <w:szCs w:val="28"/>
          <w:lang w:eastAsia="zh-CN"/>
        </w:rPr>
        <w:t>并</w:t>
      </w:r>
      <w:r>
        <w:rPr>
          <w:rFonts w:ascii="Times New Roman" w:hAnsi="Times New Roman" w:cs="Times New Roman"/>
          <w:snapToGrid w:val="0"/>
          <w:color w:val="auto"/>
          <w:sz w:val="28"/>
          <w:szCs w:val="28"/>
          <w:lang w:val="en-US" w:eastAsia="zh-CN"/>
        </w:rPr>
        <w:t>通过大数据系统向全社会共享。利用信息化监测数据，不断修正大数据系统预测预警模型，提升预测精度。</w:t>
      </w:r>
      <w:r>
        <w:rPr>
          <w:rFonts w:ascii="Times New Roman" w:hAnsi="Times New Roman" w:cs="Times New Roman"/>
          <w:color w:val="auto"/>
          <w:sz w:val="28"/>
          <w:szCs w:val="28"/>
          <w:lang w:eastAsia="zh-CN"/>
        </w:rPr>
        <w:t>发挥监测预报和服务决策功能，为科学评价水土保持效益及生态服务价值提供基础数据，为全省水土保持生态建设提供决策依据。</w:t>
      </w:r>
    </w:p>
    <w:p w14:paraId="226B6B10">
      <w:pPr>
        <w:pStyle w:val="7"/>
        <w:bidi w:val="0"/>
        <w:rPr>
          <w:rFonts w:hint="default" w:ascii="黑体" w:hAnsi="黑体" w:eastAsia="黑体" w:cs="黑体"/>
          <w:color w:val="auto"/>
          <w:sz w:val="32"/>
          <w:szCs w:val="32"/>
          <w:lang w:val="en-US" w:eastAsia="zh-CN"/>
        </w:rPr>
      </w:pPr>
      <w:bookmarkStart w:id="221" w:name="_Toc13277"/>
      <w:bookmarkStart w:id="222" w:name="_Toc1119"/>
      <w:r>
        <w:rPr>
          <w:rFonts w:hint="eastAsia" w:ascii="黑体" w:hAnsi="黑体" w:eastAsia="黑体" w:cs="黑体"/>
          <w:color w:val="auto"/>
          <w:sz w:val="32"/>
          <w:szCs w:val="32"/>
          <w:lang w:val="en-US" w:eastAsia="zh-CN"/>
        </w:rPr>
        <w:t>五、重点区域监测</w:t>
      </w:r>
      <w:bookmarkEnd w:id="221"/>
      <w:bookmarkEnd w:id="222"/>
    </w:p>
    <w:p w14:paraId="5192611E">
      <w:pPr>
        <w:pStyle w:val="9"/>
        <w:ind w:firstLine="560"/>
        <w:rPr>
          <w:rFonts w:hint="eastAsia" w:ascii="宋体" w:hAnsi="宋体" w:eastAsia="宋体" w:cs="Times New Roman"/>
          <w:color w:val="auto"/>
          <w:sz w:val="28"/>
          <w:szCs w:val="28"/>
          <w:lang w:val="en-US" w:eastAsia="zh-CN"/>
        </w:rPr>
      </w:pPr>
      <w:r>
        <w:rPr>
          <w:rFonts w:hint="eastAsia" w:ascii="宋体" w:eastAsia="宋体" w:cs="Times New Roman"/>
          <w:color w:val="auto"/>
          <w:sz w:val="28"/>
          <w:szCs w:val="28"/>
          <w:lang w:val="en-US" w:eastAsia="zh-CN"/>
        </w:rPr>
        <w:t>结合我省实际选取重要河流水系、</w:t>
      </w:r>
      <w:r>
        <w:rPr>
          <w:rFonts w:ascii="宋体" w:eastAsia="宋体" w:cs="Times New Roman"/>
          <w:color w:val="auto"/>
          <w:sz w:val="28"/>
          <w:szCs w:val="28"/>
          <w:lang w:val="en-US" w:eastAsia="zh-CN"/>
        </w:rPr>
        <w:t>重点生态功能区</w:t>
      </w:r>
      <w:r>
        <w:rPr>
          <w:rFonts w:hint="eastAsia" w:ascii="宋体" w:eastAsia="宋体" w:cs="Times New Roman"/>
          <w:color w:val="auto"/>
          <w:sz w:val="28"/>
          <w:szCs w:val="28"/>
          <w:lang w:val="en-US" w:eastAsia="zh-CN"/>
        </w:rPr>
        <w:t>、重要饮用水水源地、</w:t>
      </w:r>
      <w:r>
        <w:rPr>
          <w:rFonts w:ascii="宋体" w:eastAsia="宋体" w:cs="Times New Roman"/>
          <w:color w:val="auto"/>
          <w:sz w:val="28"/>
          <w:szCs w:val="28"/>
          <w:lang w:val="en-US" w:eastAsia="zh-CN"/>
        </w:rPr>
        <w:t>重点自然保护地</w:t>
      </w:r>
      <w:r>
        <w:rPr>
          <w:rFonts w:hint="eastAsia" w:ascii="宋体" w:eastAsia="宋体" w:cs="Times New Roman"/>
          <w:color w:val="auto"/>
          <w:sz w:val="28"/>
          <w:szCs w:val="28"/>
          <w:lang w:val="en-US" w:eastAsia="zh-CN"/>
        </w:rPr>
        <w:t>、重要园区等区域，</w:t>
      </w:r>
      <w:r>
        <w:rPr>
          <w:rFonts w:ascii="宋体" w:eastAsia="宋体" w:cs="Times New Roman"/>
          <w:color w:val="auto"/>
          <w:sz w:val="28"/>
          <w:szCs w:val="28"/>
          <w:lang w:val="en-US" w:eastAsia="zh-CN"/>
        </w:rPr>
        <w:t>不定期组织开展区域水土流失动态监测和专项调查，</w:t>
      </w:r>
      <w:r>
        <w:rPr>
          <w:rFonts w:hint="eastAsia" w:ascii="宋体" w:eastAsia="宋体" w:cs="Times New Roman"/>
          <w:color w:val="auto"/>
          <w:sz w:val="28"/>
          <w:szCs w:val="28"/>
          <w:lang w:val="en-US" w:eastAsia="zh-CN"/>
        </w:rPr>
        <w:t>及时</w:t>
      </w:r>
      <w:r>
        <w:rPr>
          <w:rFonts w:ascii="宋体" w:eastAsia="宋体" w:cs="Times New Roman"/>
          <w:color w:val="auto"/>
          <w:sz w:val="28"/>
          <w:szCs w:val="28"/>
          <w:lang w:eastAsia="zh-CN"/>
        </w:rPr>
        <w:t>掌握</w:t>
      </w:r>
      <w:r>
        <w:rPr>
          <w:rFonts w:hint="eastAsia" w:ascii="宋体" w:eastAsia="宋体" w:cs="Times New Roman"/>
          <w:color w:val="auto"/>
          <w:sz w:val="28"/>
          <w:szCs w:val="28"/>
          <w:lang w:eastAsia="zh-CN"/>
        </w:rPr>
        <w:t>重点区域</w:t>
      </w:r>
      <w:r>
        <w:rPr>
          <w:rFonts w:ascii="宋体" w:eastAsia="宋体" w:cs="Times New Roman"/>
          <w:color w:val="auto"/>
          <w:sz w:val="28"/>
          <w:szCs w:val="28"/>
          <w:lang w:eastAsia="zh-CN"/>
        </w:rPr>
        <w:t>水土流失</w:t>
      </w:r>
      <w:r>
        <w:rPr>
          <w:rFonts w:hint="eastAsia" w:ascii="宋体" w:eastAsia="宋体" w:cs="Times New Roman"/>
          <w:color w:val="auto"/>
          <w:sz w:val="28"/>
          <w:szCs w:val="28"/>
          <w:lang w:eastAsia="zh-CN"/>
        </w:rPr>
        <w:t>现状</w:t>
      </w:r>
      <w:r>
        <w:rPr>
          <w:rFonts w:ascii="宋体" w:eastAsia="宋体" w:cs="Times New Roman"/>
          <w:color w:val="auto"/>
          <w:sz w:val="28"/>
          <w:szCs w:val="28"/>
          <w:lang w:eastAsia="zh-CN"/>
        </w:rPr>
        <w:t>、水土保持措施情况</w:t>
      </w:r>
      <w:r>
        <w:rPr>
          <w:rFonts w:hint="eastAsia" w:ascii="宋体" w:eastAsia="宋体" w:cs="Times New Roman"/>
          <w:color w:val="auto"/>
          <w:sz w:val="28"/>
          <w:szCs w:val="28"/>
          <w:lang w:eastAsia="zh-CN"/>
        </w:rPr>
        <w:t>及防治效果</w:t>
      </w:r>
      <w:r>
        <w:rPr>
          <w:rFonts w:ascii="宋体" w:eastAsia="宋体" w:cs="Times New Roman"/>
          <w:color w:val="auto"/>
          <w:sz w:val="28"/>
          <w:szCs w:val="28"/>
          <w:lang w:eastAsia="zh-CN"/>
        </w:rPr>
        <w:t>，为</w:t>
      </w:r>
      <w:r>
        <w:rPr>
          <w:rFonts w:hint="eastAsia" w:ascii="宋体" w:eastAsia="宋体" w:cs="Times New Roman"/>
          <w:color w:val="auto"/>
          <w:sz w:val="28"/>
          <w:szCs w:val="28"/>
          <w:lang w:eastAsia="zh-CN"/>
        </w:rPr>
        <w:t>重点区域</w:t>
      </w:r>
      <w:r>
        <w:rPr>
          <w:rFonts w:ascii="宋体" w:eastAsia="宋体" w:cs="Times New Roman"/>
          <w:color w:val="auto"/>
          <w:sz w:val="28"/>
          <w:szCs w:val="28"/>
          <w:lang w:eastAsia="zh-CN"/>
        </w:rPr>
        <w:t>生态</w:t>
      </w:r>
      <w:r>
        <w:rPr>
          <w:rFonts w:ascii="宋体"/>
          <w:color w:val="auto"/>
          <w:sz w:val="28"/>
          <w:szCs w:val="28"/>
          <w:lang w:eastAsia="zh-CN"/>
        </w:rPr>
        <w:t>建设提供决策依据</w:t>
      </w:r>
      <w:r>
        <w:rPr>
          <w:rFonts w:hint="eastAsia" w:ascii="宋体"/>
          <w:color w:val="auto"/>
          <w:sz w:val="28"/>
          <w:szCs w:val="28"/>
          <w:lang w:eastAsia="zh-CN"/>
        </w:rPr>
        <w:t>。</w:t>
      </w:r>
    </w:p>
    <w:p w14:paraId="272C47F7">
      <w:pPr>
        <w:pStyle w:val="7"/>
        <w:bidi w:val="0"/>
        <w:rPr>
          <w:rFonts w:hint="default" w:ascii="黑体" w:hAnsi="黑体" w:eastAsia="黑体" w:cs="黑体"/>
          <w:color w:val="auto"/>
          <w:sz w:val="32"/>
          <w:szCs w:val="32"/>
          <w:lang w:val="en-US" w:eastAsia="zh-CN"/>
        </w:rPr>
      </w:pPr>
      <w:bookmarkStart w:id="223" w:name="_Toc986"/>
      <w:bookmarkStart w:id="224" w:name="_Toc5264"/>
      <w:r>
        <w:rPr>
          <w:rFonts w:hint="eastAsia" w:ascii="黑体" w:hAnsi="黑体" w:eastAsia="黑体" w:cs="黑体"/>
          <w:color w:val="auto"/>
          <w:sz w:val="32"/>
          <w:szCs w:val="32"/>
          <w:lang w:val="en-US" w:eastAsia="zh-CN"/>
        </w:rPr>
        <w:t>六、国家水土保持重点工程监测</w:t>
      </w:r>
      <w:bookmarkEnd w:id="223"/>
      <w:bookmarkEnd w:id="224"/>
      <w:r>
        <w:rPr>
          <w:rFonts w:hint="eastAsia" w:ascii="黑体" w:hAnsi="黑体" w:eastAsia="黑体" w:cs="黑体"/>
          <w:color w:val="auto"/>
          <w:sz w:val="32"/>
          <w:szCs w:val="32"/>
          <w:lang w:val="en-US" w:eastAsia="zh-CN"/>
        </w:rPr>
        <w:t>管理</w:t>
      </w:r>
    </w:p>
    <w:p w14:paraId="6161206B">
      <w:pPr>
        <w:pStyle w:val="9"/>
        <w:ind w:firstLine="560"/>
        <w:rPr>
          <w:rFonts w:hint="default" w:ascii="Times New Roman" w:hAnsi="Times New Roman" w:eastAsia="宋体" w:cs="Times New Roman"/>
          <w:color w:val="auto"/>
          <w:sz w:val="28"/>
          <w:szCs w:val="28"/>
          <w:lang w:val="en-US" w:eastAsia="zh-CN"/>
        </w:rPr>
      </w:pPr>
      <w:r>
        <w:rPr>
          <w:rFonts w:ascii="Times New Roman" w:hAnsi="Times New Roman" w:eastAsia="宋体" w:cs="Times New Roman"/>
          <w:color w:val="auto"/>
          <w:sz w:val="28"/>
          <w:szCs w:val="28"/>
          <w:lang w:val="en-US" w:eastAsia="zh-CN"/>
        </w:rPr>
        <w:t>各级水行政主管部门应按照重点工程监测工作的要求做好监测管理工作，要明确具体承担此项工作的机构和人员。省级和市州级水行政主管部门应监督和指导县级水行政主管部门和重点工程建设单位开展水土保持监测工作</w:t>
      </w:r>
      <w:r>
        <w:rPr>
          <w:rFonts w:ascii="Times New Roman" w:hAnsi="Times New Roman" w:eastAsia="宋体" w:cs="Times New Roman"/>
          <w:color w:val="auto"/>
          <w:sz w:val="28"/>
          <w:szCs w:val="28"/>
          <w:lang w:eastAsia="zh-CN"/>
        </w:rPr>
        <w:t>。</w:t>
      </w:r>
      <w:r>
        <w:rPr>
          <w:rFonts w:ascii="Times New Roman" w:hAnsi="Times New Roman" w:eastAsia="宋体" w:cs="Times New Roman"/>
          <w:color w:val="auto"/>
          <w:sz w:val="28"/>
          <w:szCs w:val="28"/>
          <w:lang w:val="en-US" w:eastAsia="zh-CN"/>
        </w:rPr>
        <w:t>要督促、指导工程建设单位和监测实施单位等参建各方将监测工作的基本情况、水土保持措施、经济效益、生态效益、水土保持措施增产效益等日常监测资料，以及监测季度季度报告和总结报告等监测成果录入</w:t>
      </w:r>
      <w:r>
        <w:rPr>
          <w:rFonts w:ascii="Times New Roman" w:hAnsi="Times New Roman" w:eastAsia="宋体" w:cs="Times New Roman"/>
          <w:color w:val="auto"/>
          <w:sz w:val="28"/>
          <w:szCs w:val="28"/>
          <w:lang w:eastAsia="zh-CN"/>
        </w:rPr>
        <w:t>贵州省水土保持大数据系统</w:t>
      </w:r>
      <w:r>
        <w:rPr>
          <w:rFonts w:ascii="Times New Roman" w:hAnsi="Times New Roman" w:eastAsia="宋体" w:cs="Times New Roman"/>
          <w:color w:val="auto"/>
          <w:sz w:val="28"/>
          <w:szCs w:val="28"/>
          <w:lang w:val="en-US" w:eastAsia="zh-CN"/>
        </w:rPr>
        <w:t>。</w:t>
      </w:r>
      <w:r>
        <w:rPr>
          <w:rFonts w:ascii="Times New Roman" w:hAnsi="Times New Roman" w:eastAsia="宋体" w:cs="Times New Roman"/>
          <w:color w:val="auto"/>
          <w:sz w:val="28"/>
          <w:szCs w:val="28"/>
          <w:lang w:eastAsia="zh-CN"/>
        </w:rPr>
        <w:t>要安排专人定期检查相关数据的报送录入情况和数据反映的问题情况并进行分类处置。确保</w:t>
      </w:r>
      <w:r>
        <w:rPr>
          <w:rFonts w:ascii="Times New Roman" w:hAnsi="Times New Roman" w:eastAsia="宋体" w:cs="Times New Roman"/>
          <w:color w:val="auto"/>
          <w:sz w:val="28"/>
          <w:szCs w:val="28"/>
          <w:lang w:val="en-US" w:eastAsia="zh-CN"/>
        </w:rPr>
        <w:t>国家水土保持重点工程监测工作有效</w:t>
      </w:r>
      <w:r>
        <w:rPr>
          <w:rFonts w:ascii="Times New Roman" w:hAnsi="Times New Roman" w:cs="Times New Roman"/>
          <w:color w:val="auto"/>
          <w:sz w:val="28"/>
          <w:szCs w:val="28"/>
        </w:rPr>
        <w:t>开展，为全省水土保持重点工程提质增效提供技术支撑。</w:t>
      </w:r>
    </w:p>
    <w:p w14:paraId="3D5CCE26">
      <w:pPr>
        <w:pStyle w:val="7"/>
        <w:bidi w:val="0"/>
        <w:rPr>
          <w:rFonts w:hint="default" w:ascii="黑体" w:hAnsi="黑体" w:eastAsia="黑体" w:cs="黑体"/>
          <w:color w:val="auto"/>
          <w:sz w:val="32"/>
          <w:szCs w:val="32"/>
          <w:lang w:val="en-US" w:eastAsia="zh-CN"/>
        </w:rPr>
      </w:pPr>
      <w:bookmarkStart w:id="225" w:name="_Toc12506"/>
      <w:bookmarkStart w:id="226" w:name="_Toc21298"/>
      <w:r>
        <w:rPr>
          <w:rFonts w:hint="eastAsia" w:ascii="黑体" w:hAnsi="黑体" w:eastAsia="黑体" w:cs="黑体"/>
          <w:color w:val="auto"/>
          <w:sz w:val="32"/>
          <w:szCs w:val="32"/>
          <w:lang w:val="en-US" w:eastAsia="zh-CN"/>
        </w:rPr>
        <w:t>七、生产建设项目监测</w:t>
      </w:r>
      <w:bookmarkEnd w:id="225"/>
      <w:bookmarkEnd w:id="226"/>
      <w:r>
        <w:rPr>
          <w:rFonts w:hint="eastAsia" w:ascii="黑体" w:hAnsi="黑体" w:eastAsia="黑体" w:cs="黑体"/>
          <w:color w:val="auto"/>
          <w:sz w:val="32"/>
          <w:szCs w:val="32"/>
          <w:lang w:val="en-US" w:eastAsia="zh-CN"/>
        </w:rPr>
        <w:t>管理</w:t>
      </w:r>
    </w:p>
    <w:p w14:paraId="0B00E0C7">
      <w:pPr>
        <w:adjustRightInd w:val="0"/>
        <w:spacing w:after="0" w:line="360" w:lineRule="auto"/>
        <w:ind w:firstLine="560" w:firstLineChars="200"/>
        <w:rPr>
          <w:rFonts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eastAsia="zh-CN"/>
        </w:rPr>
        <w:t>各级水行政主管部门要按照“谁审批</w:t>
      </w:r>
      <w:r>
        <w:rPr>
          <w:rFonts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eastAsia="zh-CN"/>
        </w:rPr>
        <w:t>谁监管”的原则做好生产建设项目的监测管理工作，下级水行政主管部门要按照属地管辖原则协助配合上级水行政主管部门开展好监测管理工作。</w:t>
      </w:r>
      <w:r>
        <w:rPr>
          <w:rFonts w:ascii="Times New Roman" w:hAnsi="Times New Roman" w:eastAsia="宋体" w:cs="Times New Roman"/>
          <w:color w:val="auto"/>
          <w:sz w:val="28"/>
          <w:szCs w:val="28"/>
          <w:lang w:eastAsia="zh-CN"/>
        </w:rPr>
        <w:t>每年有计划、有重点地组织开展在建生产建设项目水土流失监督性监测。</w:t>
      </w:r>
    </w:p>
    <w:p w14:paraId="23C0D94E">
      <w:pPr>
        <w:pStyle w:val="9"/>
        <w:rPr>
          <w:rFonts w:hint="eastAsia" w:ascii="Times New Roman" w:hAnsi="Times New Roman" w:eastAsia="宋体" w:cs="Times New Roman"/>
          <w:color w:val="auto"/>
          <w:sz w:val="28"/>
          <w:szCs w:val="28"/>
          <w:lang w:eastAsia="zh-CN"/>
        </w:rPr>
      </w:pPr>
      <w:r>
        <w:rPr>
          <w:rFonts w:hint="eastAsia" w:ascii="Times New Roman" w:hAnsi="Times New Roman" w:eastAsia="宋体" w:cs="Times New Roman"/>
          <w:color w:val="auto"/>
          <w:sz w:val="28"/>
          <w:szCs w:val="28"/>
          <w:lang w:eastAsia="zh-CN"/>
        </w:rPr>
        <w:t>贵州省水土保持大数据系统是全省水土保持监测管理工作的信息化平台，各级水行政主管部门要充分发挥系统在监测管理工作中的作用，畅通水行政主管部门、项目建设单位和监测实施单位间的联系渠道。要督促、指导项目建设单位和监测实施单位等参建各方将监测工作产生的实施方案、日常监测记录、季报、年报、总结报告、监测意见、整改落实情况等相关数据在数据产生之日起</w:t>
      </w:r>
      <w:r>
        <w:rPr>
          <w:rFonts w:ascii="Times New Roman" w:hAnsi="Times New Roman" w:eastAsia="宋体" w:cs="Times New Roman"/>
          <w:color w:val="auto"/>
          <w:sz w:val="28"/>
          <w:szCs w:val="28"/>
          <w:lang w:eastAsia="zh-CN"/>
        </w:rPr>
        <w:t>5</w:t>
      </w:r>
      <w:r>
        <w:rPr>
          <w:rFonts w:hint="eastAsia" w:ascii="Times New Roman" w:hAnsi="Times New Roman" w:eastAsia="宋体" w:cs="Times New Roman"/>
          <w:color w:val="auto"/>
          <w:sz w:val="28"/>
          <w:szCs w:val="28"/>
          <w:lang w:eastAsia="zh-CN"/>
        </w:rPr>
        <w:t>个工作日内录入系统。要安排专人定期（每周至少一次）检查相关数据的报送录入情况和数据反映的问题情况并进行分类处置。</w:t>
      </w:r>
    </w:p>
    <w:p w14:paraId="5BBA9815">
      <w:pPr>
        <w:adjustRightInd w:val="0"/>
        <w:spacing w:after="0" w:line="360" w:lineRule="auto"/>
        <w:ind w:firstLine="560" w:firstLineChars="200"/>
        <w:rPr>
          <w:rFonts w:hint="eastAsia" w:ascii="Times New Roman" w:hAnsi="Times New Roman" w:eastAsia="宋体" w:cs="Times New Roman"/>
          <w:color w:val="auto"/>
          <w:sz w:val="28"/>
          <w:szCs w:val="28"/>
          <w:lang w:eastAsia="zh-CN"/>
        </w:rPr>
      </w:pPr>
      <w:r>
        <w:rPr>
          <w:rFonts w:hint="eastAsia" w:ascii="Times New Roman" w:hAnsi="Times New Roman" w:eastAsia="宋体" w:cs="Times New Roman"/>
          <w:color w:val="auto"/>
          <w:sz w:val="28"/>
          <w:szCs w:val="28"/>
          <w:lang w:eastAsia="zh-CN"/>
        </w:rPr>
        <w:t>各级水行政主管部门要着力强化水土保持监测</w:t>
      </w:r>
      <w:r>
        <w:rPr>
          <w:rFonts w:hint="eastAsia" w:ascii="Times New Roman" w:hAnsi="Times New Roman" w:eastAsia="宋体" w:cs="Times New Roman"/>
          <w:color w:val="auto"/>
          <w:sz w:val="28"/>
          <w:szCs w:val="28"/>
          <w:lang w:val="en-US" w:eastAsia="zh-CN"/>
        </w:rPr>
        <w:t>“绿黄红”</w:t>
      </w:r>
      <w:r>
        <w:rPr>
          <w:rFonts w:ascii="Times New Roman" w:hAnsi="Times New Roman" w:eastAsia="宋体" w:cs="Times New Roman"/>
          <w:color w:val="auto"/>
          <w:sz w:val="28"/>
          <w:szCs w:val="28"/>
          <w:lang w:val="en-US" w:eastAsia="zh-CN"/>
        </w:rPr>
        <w:t>三色评价</w:t>
      </w:r>
      <w:r>
        <w:rPr>
          <w:rFonts w:hint="eastAsia" w:ascii="Times New Roman" w:hAnsi="Times New Roman" w:eastAsia="宋体" w:cs="Times New Roman"/>
          <w:color w:val="auto"/>
          <w:sz w:val="28"/>
          <w:szCs w:val="28"/>
          <w:lang w:eastAsia="zh-CN"/>
        </w:rPr>
        <w:t>成果运用和参建各方信用管理。坚持问题导向，对水土保持监测发现的有关问题，要作为建设项目的监督检查和报备项目的验收核查的重点。督促项目建设单位组织参建各方报送相关数据并严格落实监测意见，拒不报送、拒不整改的要严肃追究责任并严格实施信用惩戒。</w:t>
      </w:r>
    </w:p>
    <w:p w14:paraId="224027BB">
      <w:pPr>
        <w:pStyle w:val="7"/>
        <w:bidi w:val="0"/>
        <w:rPr>
          <w:rFonts w:hint="default" w:ascii="黑体" w:hAnsi="黑体" w:eastAsia="黑体" w:cs="黑体"/>
          <w:color w:val="auto"/>
          <w:sz w:val="32"/>
          <w:szCs w:val="32"/>
          <w:lang w:val="en-US" w:eastAsia="zh-CN"/>
        </w:rPr>
      </w:pPr>
      <w:bookmarkStart w:id="227" w:name="_Toc22623"/>
      <w:bookmarkStart w:id="228" w:name="_Toc3681"/>
      <w:r>
        <w:rPr>
          <w:rFonts w:hint="eastAsia" w:ascii="黑体" w:hAnsi="黑体" w:eastAsia="黑体" w:cs="黑体"/>
          <w:color w:val="auto"/>
          <w:sz w:val="32"/>
          <w:szCs w:val="32"/>
          <w:lang w:val="en-US" w:eastAsia="zh-CN"/>
        </w:rPr>
        <w:t>八、</w:t>
      </w:r>
      <w:r>
        <w:rPr>
          <w:rFonts w:hint="default" w:ascii="黑体" w:hAnsi="黑体" w:eastAsia="黑体" w:cs="黑体"/>
          <w:color w:val="auto"/>
          <w:sz w:val="32"/>
          <w:szCs w:val="32"/>
          <w:lang w:val="en-US" w:eastAsia="zh-CN"/>
        </w:rPr>
        <w:t>应急和案件查处监测</w:t>
      </w:r>
      <w:bookmarkEnd w:id="227"/>
      <w:bookmarkEnd w:id="228"/>
    </w:p>
    <w:p w14:paraId="0ED1192A">
      <w:pPr>
        <w:pStyle w:val="9"/>
        <w:ind w:firstLine="56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各级水行政主管部门应</w:t>
      </w:r>
      <w:r>
        <w:rPr>
          <w:rFonts w:ascii="Times New Roman" w:hAnsi="Times New Roman" w:cs="Times New Roman"/>
          <w:color w:val="auto"/>
          <w:sz w:val="28"/>
          <w:szCs w:val="28"/>
          <w:lang w:val="en-US" w:eastAsia="zh-CN"/>
        </w:rPr>
        <w:t>建立应急和案件查处监测机制，为应急处理、减灾救灾和防治对策制定提供技术支撑。全面做好违法行为监测，为违法事实确定、案件查处和纠纷仲裁等提供监测服务。</w:t>
      </w:r>
    </w:p>
    <w:bookmarkEnd w:id="211"/>
    <w:bookmarkEnd w:id="212"/>
    <w:bookmarkEnd w:id="213"/>
    <w:p w14:paraId="47357599">
      <w:pPr>
        <w:pStyle w:val="7"/>
        <w:bidi w:val="0"/>
        <w:rPr>
          <w:rFonts w:hint="eastAsia" w:ascii="黑体" w:hAnsi="黑体" w:eastAsia="黑体" w:cs="黑体"/>
          <w:color w:val="auto"/>
          <w:sz w:val="32"/>
          <w:szCs w:val="32"/>
          <w:lang w:val="en-US" w:eastAsia="zh-CN"/>
        </w:rPr>
      </w:pPr>
      <w:bookmarkStart w:id="229" w:name="_Toc21989"/>
      <w:r>
        <w:rPr>
          <w:rFonts w:hint="eastAsia" w:ascii="黑体" w:hAnsi="黑体" w:eastAsia="黑体" w:cs="黑体"/>
          <w:color w:val="auto"/>
          <w:sz w:val="32"/>
          <w:szCs w:val="32"/>
          <w:lang w:val="en-US" w:eastAsia="zh-CN"/>
        </w:rPr>
        <w:t>九、重点监测任务</w:t>
      </w:r>
      <w:bookmarkEnd w:id="229"/>
    </w:p>
    <w:p w14:paraId="381F993C">
      <w:pPr>
        <w:adjustRightInd w:val="0"/>
        <w:spacing w:line="360" w:lineRule="auto"/>
        <w:ind w:firstLine="560"/>
        <w:rPr>
          <w:rFonts w:ascii="Times New Roman" w:hAnsi="Times New Roman" w:cs="Times New Roman"/>
          <w:color w:val="auto"/>
          <w:sz w:val="28"/>
          <w:szCs w:val="28"/>
        </w:rPr>
      </w:pPr>
      <w:r>
        <w:rPr>
          <w:rFonts w:ascii="Times New Roman" w:hAnsi="Times New Roman" w:cs="Times New Roman"/>
          <w:color w:val="auto"/>
          <w:sz w:val="28"/>
          <w:szCs w:val="28"/>
        </w:rPr>
        <w:t>（1）配合做好全国水土保持监测站点优化布局工作。根据水总环（2021）156号</w:t>
      </w:r>
      <w:r>
        <w:rPr>
          <w:rFonts w:hint="eastAsia" w:ascii="Times New Roman" w:hAnsi="Times New Roman" w:cs="Times New Roman"/>
          <w:color w:val="auto"/>
          <w:sz w:val="28"/>
          <w:szCs w:val="28"/>
        </w:rPr>
        <w:t>“水规总院关于报送国家水土保持监测站点优化布局工程可行性研究报告审查意见的报告”，贵州省有</w:t>
      </w:r>
      <w:r>
        <w:rPr>
          <w:rFonts w:ascii="Times New Roman" w:hAnsi="Times New Roman" w:cs="Times New Roman"/>
          <w:color w:val="auto"/>
          <w:sz w:val="28"/>
          <w:szCs w:val="28"/>
        </w:rPr>
        <w:t>9个水保监测点列为国家水土保持监测点，其中2个重点站、5个一般站和2个共享站，</w:t>
      </w:r>
      <w:r>
        <w:rPr>
          <w:rFonts w:ascii="Times New Roman" w:hAnsi="Times New Roman" w:cs="Times New Roman"/>
          <w:color w:val="auto"/>
          <w:sz w:val="28"/>
          <w:szCs w:val="28"/>
          <w:lang w:val="en-US" w:eastAsia="zh-CN" w:bidi="ar-SA"/>
        </w:rPr>
        <w:t>详见表7-1。</w:t>
      </w:r>
      <w:r>
        <w:rPr>
          <w:rFonts w:hint="eastAsia" w:ascii="Times New Roman" w:hAnsi="Times New Roman" w:cs="Times New Roman"/>
          <w:color w:val="auto"/>
          <w:sz w:val="28"/>
          <w:szCs w:val="28"/>
        </w:rPr>
        <w:t>“</w:t>
      </w:r>
      <w:r>
        <w:rPr>
          <w:rFonts w:ascii="Times New Roman" w:hAnsi="Times New Roman" w:cs="Times New Roman"/>
          <w:color w:val="auto"/>
          <w:sz w:val="28"/>
          <w:szCs w:val="28"/>
        </w:rPr>
        <w:t>十四五</w:t>
      </w:r>
      <w:r>
        <w:rPr>
          <w:rFonts w:hint="eastAsia" w:ascii="Times New Roman" w:hAnsi="Times New Roman" w:cs="Times New Roman"/>
          <w:color w:val="auto"/>
          <w:sz w:val="28"/>
          <w:szCs w:val="28"/>
        </w:rPr>
        <w:t>”</w:t>
      </w:r>
      <w:r>
        <w:rPr>
          <w:rFonts w:ascii="Times New Roman" w:hAnsi="Times New Roman" w:cs="Times New Roman"/>
          <w:color w:val="auto"/>
          <w:sz w:val="28"/>
          <w:szCs w:val="28"/>
        </w:rPr>
        <w:t>期间贵州配合水利部做好全国水土保持监测站点优化布局工程可研审批和初步设计工作。</w:t>
      </w:r>
    </w:p>
    <w:p w14:paraId="2921922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b/>
          <w:color w:val="auto"/>
          <w:sz w:val="28"/>
          <w:szCs w:val="28"/>
          <w:lang w:val="en-US" w:eastAsia="zh-CN"/>
        </w:rPr>
      </w:pPr>
      <w:r>
        <w:rPr>
          <w:rFonts w:hint="eastAsia" w:ascii="Times New Roman" w:hAnsi="Times New Roman" w:eastAsia="宋体" w:cs="Times New Roman"/>
          <w:b/>
          <w:color w:val="auto"/>
          <w:sz w:val="28"/>
          <w:szCs w:val="28"/>
          <w:lang w:val="en-US" w:eastAsia="zh-CN"/>
        </w:rPr>
        <w:t>表7-1        水土保持监测站点升级改造情况统计表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964"/>
        <w:gridCol w:w="1317"/>
        <w:gridCol w:w="2580"/>
        <w:gridCol w:w="2580"/>
      </w:tblGrid>
      <w:tr w14:paraId="75C45B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32" w:type="pct"/>
            <w:tcBorders>
              <w:tl2br w:val="nil"/>
              <w:tr2bl w:val="nil"/>
            </w:tcBorders>
            <w:noWrap/>
            <w:vAlign w:val="center"/>
          </w:tcPr>
          <w:p w14:paraId="17EE59CF">
            <w:pPr>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流域</w:t>
            </w:r>
          </w:p>
        </w:tc>
        <w:tc>
          <w:tcPr>
            <w:tcW w:w="566" w:type="pct"/>
            <w:tcBorders>
              <w:tl2br w:val="nil"/>
              <w:tr2bl w:val="nil"/>
            </w:tcBorders>
            <w:noWrap/>
            <w:vAlign w:val="center"/>
          </w:tcPr>
          <w:p w14:paraId="5682AF67">
            <w:pPr>
              <w:jc w:val="center"/>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数量（个）</w:t>
            </w:r>
          </w:p>
        </w:tc>
        <w:tc>
          <w:tcPr>
            <w:tcW w:w="773" w:type="pct"/>
            <w:tcBorders>
              <w:tl2br w:val="nil"/>
              <w:tr2bl w:val="nil"/>
            </w:tcBorders>
            <w:noWrap/>
            <w:vAlign w:val="center"/>
          </w:tcPr>
          <w:p w14:paraId="76414F84">
            <w:pPr>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重点监测点</w:t>
            </w:r>
          </w:p>
        </w:tc>
        <w:tc>
          <w:tcPr>
            <w:tcW w:w="1514" w:type="pct"/>
            <w:tcBorders>
              <w:tl2br w:val="nil"/>
              <w:tr2bl w:val="nil"/>
            </w:tcBorders>
            <w:noWrap/>
            <w:vAlign w:val="center"/>
          </w:tcPr>
          <w:p w14:paraId="477F4AEA">
            <w:pPr>
              <w:jc w:val="center"/>
              <w:rPr>
                <w:rFonts w:hint="eastAsia" w:cs="Times New Roman"/>
                <w:b/>
                <w:bCs/>
                <w:color w:val="auto"/>
                <w:sz w:val="21"/>
                <w:szCs w:val="21"/>
                <w:lang w:val="en-US" w:eastAsia="zh-CN"/>
              </w:rPr>
            </w:pPr>
            <w:r>
              <w:rPr>
                <w:rFonts w:hint="eastAsia" w:cs="Times New Roman"/>
                <w:b/>
                <w:bCs/>
                <w:color w:val="auto"/>
                <w:sz w:val="21"/>
                <w:szCs w:val="21"/>
                <w:lang w:val="en-US" w:eastAsia="zh-CN"/>
              </w:rPr>
              <w:t>一般监测点</w:t>
            </w:r>
          </w:p>
        </w:tc>
        <w:tc>
          <w:tcPr>
            <w:tcW w:w="1514" w:type="pct"/>
            <w:tcBorders>
              <w:tl2br w:val="nil"/>
              <w:tr2bl w:val="nil"/>
            </w:tcBorders>
            <w:noWrap/>
            <w:vAlign w:val="center"/>
          </w:tcPr>
          <w:p w14:paraId="15AA9015">
            <w:pPr>
              <w:jc w:val="center"/>
              <w:rPr>
                <w:rFonts w:cs="Times New Roman"/>
                <w:b/>
                <w:bCs/>
                <w:color w:val="auto"/>
                <w:sz w:val="21"/>
                <w:szCs w:val="21"/>
                <w:lang w:val="en-US" w:eastAsia="zh-CN"/>
              </w:rPr>
            </w:pPr>
            <w:r>
              <w:rPr>
                <w:rFonts w:hint="eastAsia" w:cs="Times New Roman"/>
                <w:b/>
                <w:bCs/>
                <w:color w:val="auto"/>
                <w:szCs w:val="21"/>
              </w:rPr>
              <w:t>共享监测站点</w:t>
            </w:r>
          </w:p>
        </w:tc>
      </w:tr>
      <w:tr w14:paraId="54B769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2" w:type="pct"/>
            <w:tcBorders>
              <w:tl2br w:val="nil"/>
              <w:tr2bl w:val="nil"/>
            </w:tcBorders>
            <w:noWrap/>
            <w:vAlign w:val="center"/>
          </w:tcPr>
          <w:p w14:paraId="0153B372">
            <w:pPr>
              <w:jc w:val="center"/>
              <w:rPr>
                <w:rFonts w:ascii="Times New Roman" w:hAnsi="Times New Roman" w:cs="Times New Roman"/>
                <w:color w:val="auto"/>
                <w:sz w:val="21"/>
                <w:szCs w:val="21"/>
              </w:rPr>
            </w:pPr>
            <w:r>
              <w:rPr>
                <w:rFonts w:ascii="Times New Roman" w:hAnsi="Times New Roman" w:cs="Times New Roman"/>
                <w:color w:val="auto"/>
                <w:sz w:val="21"/>
                <w:szCs w:val="21"/>
              </w:rPr>
              <w:t>长江流域</w:t>
            </w:r>
          </w:p>
        </w:tc>
        <w:tc>
          <w:tcPr>
            <w:tcW w:w="566" w:type="pct"/>
            <w:tcBorders>
              <w:tl2br w:val="nil"/>
              <w:tr2bl w:val="nil"/>
            </w:tcBorders>
            <w:noWrap/>
            <w:vAlign w:val="center"/>
          </w:tcPr>
          <w:p w14:paraId="34BF8B24">
            <w:pPr>
              <w:ind w:firstLine="210" w:firstLineChars="100"/>
              <w:jc w:val="both"/>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kern w:val="0"/>
                <w:sz w:val="21"/>
                <w:szCs w:val="21"/>
                <w:lang w:val="en-US" w:eastAsia="zh-CN"/>
              </w:rPr>
              <w:t>5</w:t>
            </w:r>
          </w:p>
        </w:tc>
        <w:tc>
          <w:tcPr>
            <w:tcW w:w="773" w:type="pct"/>
            <w:tcBorders>
              <w:tl2br w:val="nil"/>
              <w:tr2bl w:val="nil"/>
            </w:tcBorders>
            <w:noWrap/>
            <w:vAlign w:val="center"/>
          </w:tcPr>
          <w:p w14:paraId="02EBA58E">
            <w:pPr>
              <w:jc w:val="center"/>
              <w:rPr>
                <w:rFonts w:hint="eastAsia" w:ascii="Times New Roman" w:hAnsi="Times New Roman" w:eastAsia="宋体" w:cs="Times New Roman"/>
                <w:color w:val="auto"/>
                <w:kern w:val="0"/>
                <w:sz w:val="21"/>
                <w:szCs w:val="21"/>
                <w:lang w:val="en-US" w:eastAsia="zh-CN"/>
              </w:rPr>
            </w:pPr>
            <w:r>
              <w:rPr>
                <w:rFonts w:ascii="Times New Roman" w:hAnsi="Times New Roman" w:cs="Times New Roman"/>
                <w:color w:val="auto"/>
                <w:kern w:val="0"/>
                <w:sz w:val="21"/>
                <w:szCs w:val="21"/>
              </w:rPr>
              <w:t>松桃牛郎</w:t>
            </w:r>
          </w:p>
        </w:tc>
        <w:tc>
          <w:tcPr>
            <w:tcW w:w="1514" w:type="pct"/>
            <w:tcBorders>
              <w:tl2br w:val="nil"/>
              <w:tr2bl w:val="nil"/>
            </w:tcBorders>
            <w:noWrap/>
            <w:vAlign w:val="center"/>
          </w:tcPr>
          <w:p w14:paraId="06F94034">
            <w:pPr>
              <w:jc w:val="center"/>
              <w:rPr>
                <w:rFonts w:ascii="Times New Roman" w:hAnsi="Times New Roman" w:eastAsia="宋体" w:cs="Times New Roman"/>
                <w:color w:val="auto"/>
                <w:kern w:val="0"/>
                <w:sz w:val="21"/>
                <w:szCs w:val="21"/>
                <w:lang w:val="en-US" w:eastAsia="zh-CN"/>
              </w:rPr>
            </w:pPr>
            <w:r>
              <w:rPr>
                <w:rFonts w:ascii="Times New Roman" w:hAnsi="Times New Roman" w:eastAsia="宋体" w:cs="Times New Roman"/>
                <w:color w:val="auto"/>
                <w:kern w:val="0"/>
                <w:sz w:val="21"/>
                <w:szCs w:val="21"/>
              </w:rPr>
              <w:t>龙里羊鸡冲</w:t>
            </w:r>
            <w:r>
              <w:rPr>
                <w:rFonts w:hint="eastAsia" w:ascii="Times New Roman" w:hAnsi="Times New Roman" w:eastAsia="宋体" w:cs="Times New Roman"/>
                <w:color w:val="auto"/>
                <w:kern w:val="0"/>
                <w:sz w:val="21"/>
                <w:szCs w:val="21"/>
                <w:lang w:eastAsia="zh-CN"/>
              </w:rPr>
              <w:t>、</w:t>
            </w:r>
            <w:r>
              <w:rPr>
                <w:rFonts w:ascii="Times New Roman" w:hAnsi="Times New Roman" w:eastAsia="宋体" w:cs="Times New Roman"/>
                <w:color w:val="auto"/>
                <w:kern w:val="0"/>
                <w:sz w:val="21"/>
                <w:szCs w:val="21"/>
              </w:rPr>
              <w:t>毕节丁家寨</w:t>
            </w:r>
            <w:r>
              <w:rPr>
                <w:rFonts w:hint="eastAsia" w:ascii="Times New Roman" w:hAnsi="Times New Roman" w:eastAsia="宋体" w:cs="Times New Roman"/>
                <w:color w:val="auto"/>
                <w:kern w:val="0"/>
                <w:sz w:val="21"/>
                <w:szCs w:val="21"/>
                <w:lang w:eastAsia="zh-CN"/>
              </w:rPr>
              <w:t>、</w:t>
            </w:r>
            <w:r>
              <w:rPr>
                <w:rFonts w:ascii="Times New Roman" w:hAnsi="Times New Roman" w:eastAsia="宋体" w:cs="Times New Roman"/>
                <w:color w:val="auto"/>
                <w:kern w:val="0"/>
                <w:sz w:val="21"/>
                <w:szCs w:val="21"/>
              </w:rPr>
              <w:t>赤水市大石河</w:t>
            </w:r>
          </w:p>
        </w:tc>
        <w:tc>
          <w:tcPr>
            <w:tcW w:w="1514" w:type="pct"/>
            <w:tcBorders>
              <w:tl2br w:val="nil"/>
              <w:tr2bl w:val="nil"/>
            </w:tcBorders>
            <w:noWrap/>
            <w:vAlign w:val="center"/>
          </w:tcPr>
          <w:p w14:paraId="01A0AD32">
            <w:pPr>
              <w:jc w:val="center"/>
              <w:rPr>
                <w:rFonts w:ascii="Times New Roman" w:hAnsi="Times New Roman" w:cs="Times New Roman"/>
                <w:color w:val="auto"/>
                <w:kern w:val="0"/>
                <w:szCs w:val="21"/>
              </w:rPr>
            </w:pPr>
            <w:r>
              <w:rPr>
                <w:rFonts w:ascii="Times New Roman" w:hAnsi="Times New Roman" w:cs="Times New Roman"/>
                <w:bCs/>
                <w:iCs/>
                <w:color w:val="auto"/>
                <w:kern w:val="0"/>
                <w:szCs w:val="21"/>
                <w:lang w:eastAsia="zh-CN"/>
              </w:rPr>
              <w:t>普定喀斯特生态系统观测站</w:t>
            </w:r>
          </w:p>
        </w:tc>
      </w:tr>
      <w:tr w14:paraId="46DCF3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2" w:type="pct"/>
            <w:tcBorders>
              <w:tl2br w:val="nil"/>
              <w:tr2bl w:val="nil"/>
            </w:tcBorders>
            <w:noWrap/>
            <w:vAlign w:val="center"/>
          </w:tcPr>
          <w:p w14:paraId="0A0B4A60">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珠江流域</w:t>
            </w:r>
          </w:p>
        </w:tc>
        <w:tc>
          <w:tcPr>
            <w:tcW w:w="566" w:type="pct"/>
            <w:tcBorders>
              <w:tl2br w:val="nil"/>
              <w:tr2bl w:val="nil"/>
            </w:tcBorders>
            <w:noWrap/>
            <w:vAlign w:val="center"/>
          </w:tcPr>
          <w:p w14:paraId="1A60F0A3">
            <w:pPr>
              <w:ind w:firstLine="210" w:firstLineChars="100"/>
              <w:rPr>
                <w:rFonts w:hint="eastAsia" w:eastAsia="宋体"/>
                <w:color w:val="auto"/>
                <w:lang w:val="en-US" w:eastAsia="zh-CN"/>
              </w:rPr>
            </w:pPr>
            <w:r>
              <w:rPr>
                <w:rFonts w:hint="eastAsia"/>
                <w:color w:val="auto"/>
                <w:lang w:val="en-US" w:eastAsia="zh-CN"/>
              </w:rPr>
              <w:t>4</w:t>
            </w:r>
          </w:p>
        </w:tc>
        <w:tc>
          <w:tcPr>
            <w:tcW w:w="773" w:type="pct"/>
            <w:tcBorders>
              <w:tl2br w:val="nil"/>
              <w:tr2bl w:val="nil"/>
            </w:tcBorders>
            <w:noWrap/>
            <w:vAlign w:val="center"/>
          </w:tcPr>
          <w:p w14:paraId="26AA5618">
            <w:pPr>
              <w:rPr>
                <w:rFonts w:ascii="Times New Roman" w:hAnsi="Times New Roman" w:eastAsia="宋体" w:cs="Times New Roman"/>
                <w:color w:val="auto"/>
                <w:kern w:val="2"/>
                <w:sz w:val="21"/>
                <w:szCs w:val="21"/>
                <w:lang w:val="en-US" w:eastAsia="zh-CN" w:bidi="ar-SA"/>
              </w:rPr>
            </w:pPr>
            <w:r>
              <w:rPr>
                <w:rFonts w:ascii="Times New Roman" w:hAnsi="Times New Roman" w:cs="Times New Roman"/>
                <w:color w:val="auto"/>
                <w:kern w:val="0"/>
                <w:sz w:val="21"/>
                <w:szCs w:val="21"/>
              </w:rPr>
              <w:t>西秀三股水</w:t>
            </w:r>
          </w:p>
        </w:tc>
        <w:tc>
          <w:tcPr>
            <w:tcW w:w="1514" w:type="pct"/>
            <w:tcBorders>
              <w:tl2br w:val="nil"/>
              <w:tr2bl w:val="nil"/>
            </w:tcBorders>
            <w:noWrap/>
            <w:vAlign w:val="center"/>
          </w:tcPr>
          <w:p w14:paraId="7AF81CF1">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cs="Times New Roman"/>
                <w:color w:val="auto"/>
                <w:kern w:val="0"/>
                <w:sz w:val="21"/>
                <w:szCs w:val="21"/>
              </w:rPr>
              <w:t>关岭</w:t>
            </w:r>
            <w:r>
              <w:rPr>
                <w:rFonts w:hint="eastAsia" w:ascii="Times New Roman" w:hAnsi="Times New Roman" w:cs="Times New Roman"/>
                <w:color w:val="auto"/>
                <w:kern w:val="0"/>
                <w:sz w:val="21"/>
                <w:szCs w:val="21"/>
                <w:lang w:eastAsia="zh-CN"/>
              </w:rPr>
              <w:t>蚂蝗田、</w:t>
            </w:r>
            <w:r>
              <w:rPr>
                <w:rFonts w:ascii="Times New Roman" w:hAnsi="Times New Roman" w:cs="Times New Roman"/>
                <w:color w:val="auto"/>
                <w:kern w:val="0"/>
                <w:sz w:val="21"/>
                <w:szCs w:val="21"/>
              </w:rPr>
              <w:t>兴义兴西湖</w:t>
            </w:r>
            <w:r>
              <w:rPr>
                <w:rFonts w:hint="eastAsia" w:ascii="Times New Roman" w:hAnsi="Times New Roman" w:cs="Times New Roman"/>
                <w:color w:val="auto"/>
                <w:kern w:val="0"/>
                <w:sz w:val="21"/>
                <w:szCs w:val="21"/>
                <w:lang w:eastAsia="zh-CN"/>
              </w:rPr>
              <w:t>、</w:t>
            </w:r>
          </w:p>
        </w:tc>
        <w:tc>
          <w:tcPr>
            <w:tcW w:w="1514" w:type="pct"/>
            <w:tcBorders>
              <w:tl2br w:val="nil"/>
              <w:tr2bl w:val="nil"/>
            </w:tcBorders>
            <w:noWrap/>
            <w:vAlign w:val="center"/>
          </w:tcPr>
          <w:p w14:paraId="08586748">
            <w:pPr>
              <w:jc w:val="center"/>
              <w:rPr>
                <w:rFonts w:ascii="Times New Roman" w:hAnsi="Times New Roman" w:cs="Times New Roman"/>
                <w:color w:val="auto"/>
                <w:kern w:val="0"/>
                <w:sz w:val="21"/>
                <w:szCs w:val="21"/>
              </w:rPr>
            </w:pPr>
            <w:r>
              <w:rPr>
                <w:rFonts w:ascii="Times New Roman" w:hAnsi="Times New Roman" w:cs="Times New Roman"/>
                <w:bCs/>
                <w:iCs/>
                <w:color w:val="auto"/>
                <w:kern w:val="0"/>
                <w:szCs w:val="21"/>
              </w:rPr>
              <w:t>荔波喀斯特森林生态系统国家定位观测研究站</w:t>
            </w:r>
          </w:p>
        </w:tc>
      </w:tr>
      <w:tr w14:paraId="5116D0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2" w:type="pct"/>
            <w:tcBorders>
              <w:tl2br w:val="nil"/>
              <w:tr2bl w:val="nil"/>
            </w:tcBorders>
            <w:noWrap/>
            <w:vAlign w:val="center"/>
          </w:tcPr>
          <w:p w14:paraId="6F27F2DB">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合计</w:t>
            </w:r>
          </w:p>
        </w:tc>
        <w:tc>
          <w:tcPr>
            <w:tcW w:w="566" w:type="pct"/>
            <w:tcBorders>
              <w:tl2br w:val="nil"/>
              <w:tr2bl w:val="nil"/>
            </w:tcBorders>
            <w:noWrap/>
            <w:vAlign w:val="center"/>
          </w:tcPr>
          <w:p w14:paraId="75C45C3D">
            <w:pPr>
              <w:ind w:firstLine="210" w:firstLineChars="100"/>
              <w:rPr>
                <w:color w:val="auto"/>
                <w:lang w:val="en-US" w:eastAsia="zh-CN"/>
              </w:rPr>
            </w:pPr>
            <w:r>
              <w:rPr>
                <w:rFonts w:hint="eastAsia"/>
                <w:color w:val="auto"/>
                <w:lang w:val="en-US" w:eastAsia="zh-CN"/>
              </w:rPr>
              <w:t>9</w:t>
            </w:r>
          </w:p>
        </w:tc>
        <w:tc>
          <w:tcPr>
            <w:tcW w:w="773" w:type="pct"/>
            <w:tcBorders>
              <w:tl2br w:val="nil"/>
              <w:tr2bl w:val="nil"/>
            </w:tcBorders>
            <w:noWrap/>
            <w:vAlign w:val="center"/>
          </w:tcPr>
          <w:p w14:paraId="01335DEA">
            <w:pPr>
              <w:rPr>
                <w:rFonts w:ascii="Times New Roman" w:hAnsi="Times New Roman" w:cs="Times New Roman"/>
                <w:color w:val="auto"/>
                <w:kern w:val="0"/>
                <w:sz w:val="21"/>
                <w:szCs w:val="21"/>
              </w:rPr>
            </w:pPr>
          </w:p>
        </w:tc>
        <w:tc>
          <w:tcPr>
            <w:tcW w:w="3028" w:type="pct"/>
            <w:gridSpan w:val="2"/>
            <w:tcBorders>
              <w:tl2br w:val="nil"/>
              <w:tr2bl w:val="nil"/>
            </w:tcBorders>
            <w:noWrap/>
            <w:vAlign w:val="center"/>
          </w:tcPr>
          <w:p w14:paraId="5B65988C">
            <w:pPr>
              <w:jc w:val="center"/>
              <w:rPr>
                <w:rFonts w:ascii="Times New Roman" w:hAnsi="Times New Roman" w:cs="Times New Roman"/>
                <w:color w:val="auto"/>
                <w:kern w:val="0"/>
                <w:sz w:val="21"/>
                <w:szCs w:val="21"/>
              </w:rPr>
            </w:pPr>
          </w:p>
        </w:tc>
      </w:tr>
    </w:tbl>
    <w:p w14:paraId="244BB761">
      <w:pPr>
        <w:adjustRightInd w:val="0"/>
        <w:spacing w:line="360" w:lineRule="auto"/>
        <w:ind w:firstLine="560"/>
        <w:rPr>
          <w:rFonts w:ascii="Times New Roman" w:hAnsi="Times New Roman" w:cs="Times New Roman"/>
          <w:color w:val="auto"/>
          <w:sz w:val="28"/>
          <w:szCs w:val="28"/>
          <w:lang w:val="en-US" w:eastAsia="zh-CN" w:bidi="ar-SA"/>
        </w:rPr>
      </w:pPr>
      <w:bookmarkStart w:id="230" w:name="_Toc433811104"/>
      <w:bookmarkStart w:id="231" w:name="_Toc389814606"/>
      <w:bookmarkStart w:id="232" w:name="_Toc330563743"/>
    </w:p>
    <w:p w14:paraId="55A6879A">
      <w:pPr>
        <w:adjustRightInd w:val="0"/>
        <w:spacing w:line="360" w:lineRule="auto"/>
        <w:ind w:firstLine="560"/>
        <w:rPr>
          <w:rFonts w:ascii="Times New Roman" w:hAnsi="Times New Roman" w:cs="Times New Roman"/>
          <w:color w:val="auto"/>
          <w:sz w:val="28"/>
          <w:szCs w:val="28"/>
          <w:lang w:val="en-US" w:eastAsia="zh-CN" w:bidi="ar-SA"/>
        </w:rPr>
      </w:pPr>
      <w:r>
        <w:rPr>
          <w:rFonts w:ascii="Times New Roman" w:hAnsi="Times New Roman" w:cs="Times New Roman"/>
          <w:color w:val="auto"/>
          <w:sz w:val="28"/>
          <w:szCs w:val="28"/>
          <w:lang w:val="en-US" w:eastAsia="zh-CN" w:bidi="ar-SA"/>
        </w:rPr>
        <w:t>（2）开展水土保持监测站点升级改造。</w:t>
      </w:r>
      <w:r>
        <w:rPr>
          <w:rFonts w:hint="eastAsia" w:ascii="Times New Roman" w:hAnsi="Times New Roman" w:cs="Times New Roman"/>
          <w:color w:val="auto"/>
          <w:sz w:val="28"/>
          <w:szCs w:val="28"/>
          <w:lang w:val="en-US" w:eastAsia="zh-CN" w:bidi="ar-SA"/>
        </w:rPr>
        <w:t>“</w:t>
      </w:r>
      <w:r>
        <w:rPr>
          <w:rFonts w:ascii="Times New Roman" w:hAnsi="Times New Roman" w:cs="Times New Roman"/>
          <w:color w:val="auto"/>
          <w:sz w:val="28"/>
          <w:szCs w:val="28"/>
          <w:lang w:val="en-US" w:eastAsia="zh-CN" w:bidi="ar-SA"/>
        </w:rPr>
        <w:t>十四五</w:t>
      </w:r>
      <w:r>
        <w:rPr>
          <w:rFonts w:hint="eastAsia" w:ascii="Times New Roman" w:hAnsi="Times New Roman" w:cs="Times New Roman"/>
          <w:color w:val="auto"/>
          <w:sz w:val="28"/>
          <w:szCs w:val="28"/>
          <w:lang w:val="en-US" w:eastAsia="zh-CN" w:bidi="ar-SA"/>
        </w:rPr>
        <w:t>”</w:t>
      </w:r>
      <w:r>
        <w:rPr>
          <w:rFonts w:ascii="Times New Roman" w:hAnsi="Times New Roman" w:cs="Times New Roman"/>
          <w:color w:val="auto"/>
          <w:sz w:val="28"/>
          <w:szCs w:val="28"/>
          <w:lang w:val="en-US" w:eastAsia="zh-CN" w:bidi="ar-SA"/>
        </w:rPr>
        <w:t>期间，依托全国水土保持监测站点优化布局工程，升级改造贵州现有9个监测站点，包括2个重点监测点和5个一般监测点及2个共享站点进行</w:t>
      </w:r>
      <w:r>
        <w:rPr>
          <w:rFonts w:hint="eastAsia" w:ascii="Times New Roman" w:hAnsi="Times New Roman" w:cs="Times New Roman"/>
          <w:color w:val="auto"/>
          <w:sz w:val="28"/>
          <w:szCs w:val="28"/>
          <w:lang w:val="en-US" w:eastAsia="zh-CN" w:bidi="ar-SA"/>
        </w:rPr>
        <w:t>自动化</w:t>
      </w:r>
      <w:r>
        <w:rPr>
          <w:rFonts w:ascii="Times New Roman" w:hAnsi="Times New Roman" w:cs="Times New Roman"/>
          <w:color w:val="auto"/>
          <w:sz w:val="28"/>
          <w:szCs w:val="28"/>
          <w:lang w:val="en-US" w:eastAsia="zh-CN" w:bidi="ar-SA"/>
        </w:rPr>
        <w:t>升级改造，详见表7-1。在此基础上，不断升级改造其它监测站点，到2025年共完成</w:t>
      </w:r>
      <w:r>
        <w:rPr>
          <w:rFonts w:hint="eastAsia" w:ascii="Times New Roman" w:hAnsi="Times New Roman" w:cs="Times New Roman"/>
          <w:color w:val="auto"/>
          <w:sz w:val="28"/>
          <w:szCs w:val="28"/>
          <w:lang w:val="en-US" w:eastAsia="zh-CN" w:bidi="ar-SA"/>
        </w:rPr>
        <w:t>29</w:t>
      </w:r>
      <w:r>
        <w:rPr>
          <w:rFonts w:ascii="Times New Roman" w:hAnsi="Times New Roman" w:cs="Times New Roman"/>
          <w:color w:val="auto"/>
          <w:sz w:val="28"/>
          <w:szCs w:val="28"/>
          <w:lang w:val="en-US" w:eastAsia="zh-CN" w:bidi="ar-SA"/>
        </w:rPr>
        <w:t>个监测点的升级改造，详见表7-2。</w:t>
      </w:r>
    </w:p>
    <w:p w14:paraId="14A31BD8">
      <w:pPr>
        <w:keepNext w:val="0"/>
        <w:keepLines w:val="0"/>
        <w:pageBreakBefore w:val="0"/>
        <w:widowControl w:val="0"/>
        <w:kinsoku/>
        <w:wordWrap/>
        <w:overflowPunct/>
        <w:topLinePunct w:val="0"/>
        <w:autoSpaceDE/>
        <w:autoSpaceDN/>
        <w:bidi w:val="0"/>
        <w:adjustRightInd w:val="0"/>
        <w:snapToGrid/>
        <w:spacing w:after="0" w:line="540" w:lineRule="exact"/>
        <w:textAlignment w:val="auto"/>
        <w:rPr>
          <w:rFonts w:hint="eastAsia" w:ascii="Times New Roman" w:hAnsi="Times New Roman" w:cs="Times New Roman" w:eastAsiaTheme="minorEastAsia"/>
          <w:color w:val="auto"/>
          <w:sz w:val="28"/>
          <w:szCs w:val="28"/>
          <w:lang w:eastAsia="zh-CN"/>
        </w:rPr>
      </w:pPr>
      <w:r>
        <w:rPr>
          <w:rFonts w:ascii="Times New Roman" w:hAnsi="Times New Roman" w:cs="Times New Roman"/>
          <w:color w:val="auto"/>
          <w:sz w:val="28"/>
          <w:szCs w:val="28"/>
        </w:rPr>
        <w:t>（3）开展省级水土保持监测共享站点的调查研究和合作建设。组织调研林业、生态环保、自然资源等行业，在全省范围内的监测站点的布局和建设情况，共享可用的水土保持监测资源，推进省级水土保持监测共享站点的合作建设和数据共享工作</w:t>
      </w:r>
      <w:r>
        <w:rPr>
          <w:rFonts w:hint="eastAsia" w:ascii="Times New Roman" w:hAnsi="Times New Roman" w:cs="Times New Roman"/>
          <w:color w:val="auto"/>
          <w:sz w:val="28"/>
          <w:szCs w:val="28"/>
          <w:lang w:eastAsia="zh-CN"/>
        </w:rPr>
        <w:t>。</w:t>
      </w:r>
    </w:p>
    <w:bookmarkEnd w:id="230"/>
    <w:bookmarkEnd w:id="231"/>
    <w:bookmarkEnd w:id="232"/>
    <w:p w14:paraId="5DFCB163">
      <w:pPr>
        <w:pStyle w:val="18"/>
        <w:rPr>
          <w:rFonts w:hint="default"/>
          <w:color w:val="auto"/>
          <w:lang w:eastAsia="zh-CN"/>
        </w:rPr>
      </w:pPr>
    </w:p>
    <w:p w14:paraId="34FA4EEA">
      <w:pPr>
        <w:pStyle w:val="12"/>
        <w:rPr>
          <w:rFonts w:hint="default" w:ascii="Times New Roman" w:hAnsi="Times New Roman" w:cs="Times New Roman"/>
          <w:color w:val="auto"/>
          <w:lang w:eastAsia="zh-CN"/>
        </w:rPr>
        <w:sectPr>
          <w:headerReference r:id="rId1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860B8F0">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b/>
          <w:bCs/>
          <w:color w:val="auto"/>
          <w:sz w:val="28"/>
          <w:szCs w:val="24"/>
          <w:lang w:eastAsia="zh-CN"/>
        </w:rPr>
      </w:pPr>
      <w:r>
        <w:rPr>
          <w:rFonts w:hint="default" w:ascii="Times New Roman" w:hAnsi="Times New Roman" w:cs="Times New Roman"/>
          <w:b/>
          <w:bCs/>
          <w:color w:val="auto"/>
          <w:sz w:val="28"/>
          <w:szCs w:val="24"/>
          <w:lang w:eastAsia="zh-CN"/>
        </w:rPr>
        <w:t>表</w:t>
      </w:r>
      <w:r>
        <w:rPr>
          <w:rFonts w:hint="eastAsia" w:ascii="Times New Roman" w:hAnsi="Times New Roman" w:cs="Times New Roman"/>
          <w:b/>
          <w:bCs/>
          <w:color w:val="auto"/>
          <w:sz w:val="28"/>
          <w:szCs w:val="24"/>
          <w:lang w:val="en-US" w:eastAsia="zh-CN"/>
        </w:rPr>
        <w:t>7</w:t>
      </w:r>
      <w:r>
        <w:rPr>
          <w:rFonts w:hint="default" w:ascii="Times New Roman" w:hAnsi="Times New Roman" w:cs="Times New Roman"/>
          <w:b/>
          <w:bCs/>
          <w:color w:val="auto"/>
          <w:sz w:val="28"/>
          <w:szCs w:val="24"/>
          <w:lang w:eastAsia="zh-CN"/>
        </w:rPr>
        <w:t>-</w:t>
      </w:r>
      <w:r>
        <w:rPr>
          <w:rFonts w:hint="eastAsia" w:ascii="Times New Roman" w:hAnsi="Times New Roman" w:cs="Times New Roman"/>
          <w:b/>
          <w:bCs/>
          <w:color w:val="auto"/>
          <w:sz w:val="28"/>
          <w:szCs w:val="24"/>
          <w:lang w:val="en-US" w:eastAsia="zh-CN"/>
        </w:rPr>
        <w:t>2</w:t>
      </w:r>
      <w:r>
        <w:rPr>
          <w:rFonts w:hint="default" w:ascii="Times New Roman" w:hAnsi="Times New Roman" w:cs="Times New Roman"/>
          <w:b/>
          <w:bCs/>
          <w:color w:val="auto"/>
          <w:sz w:val="28"/>
          <w:szCs w:val="24"/>
          <w:lang w:eastAsia="zh-CN"/>
        </w:rPr>
        <w:t xml:space="preserve">    </w:t>
      </w:r>
      <w:r>
        <w:rPr>
          <w:rFonts w:hint="eastAsia" w:ascii="Times New Roman" w:hAnsi="Times New Roman" w:cs="Times New Roman"/>
          <w:b/>
          <w:bCs/>
          <w:color w:val="auto"/>
          <w:sz w:val="28"/>
          <w:szCs w:val="24"/>
          <w:lang w:val="en-US" w:eastAsia="zh-CN"/>
        </w:rPr>
        <w:t xml:space="preserve">                       </w:t>
      </w:r>
      <w:r>
        <w:rPr>
          <w:rFonts w:hint="default" w:ascii="Times New Roman" w:hAnsi="Times New Roman" w:cs="Times New Roman"/>
          <w:b/>
          <w:bCs/>
          <w:color w:val="auto"/>
          <w:sz w:val="28"/>
          <w:szCs w:val="24"/>
          <w:lang w:eastAsia="zh-CN"/>
        </w:rPr>
        <w:t>贵州省水土保持监测点分区规划统计表</w:t>
      </w:r>
    </w:p>
    <w:tbl>
      <w:tblPr>
        <w:tblStyle w:val="19"/>
        <w:tblW w:w="4996"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358"/>
        <w:gridCol w:w="1610"/>
        <w:gridCol w:w="1777"/>
        <w:gridCol w:w="1871"/>
        <w:gridCol w:w="3284"/>
        <w:gridCol w:w="2265"/>
      </w:tblGrid>
      <w:tr w14:paraId="6CB8F0C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restart"/>
            <w:tcBorders>
              <w:tl2br w:val="nil"/>
              <w:tr2bl w:val="nil"/>
            </w:tcBorders>
            <w:noWrap/>
            <w:vAlign w:val="center"/>
          </w:tcPr>
          <w:p w14:paraId="1D240D72">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水土保持区划</w:t>
            </w:r>
          </w:p>
        </w:tc>
        <w:tc>
          <w:tcPr>
            <w:tcW w:w="568" w:type="pct"/>
            <w:vMerge w:val="restart"/>
            <w:tcBorders>
              <w:tl2br w:val="nil"/>
              <w:tr2bl w:val="nil"/>
            </w:tcBorders>
            <w:noWrap/>
            <w:vAlign w:val="center"/>
          </w:tcPr>
          <w:p w14:paraId="084483E4">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市州</w:t>
            </w:r>
          </w:p>
        </w:tc>
        <w:tc>
          <w:tcPr>
            <w:tcW w:w="3245" w:type="pct"/>
            <w:gridSpan w:val="4"/>
            <w:tcBorders>
              <w:tl2br w:val="nil"/>
              <w:tr2bl w:val="nil"/>
            </w:tcBorders>
            <w:noWrap/>
            <w:vAlign w:val="center"/>
          </w:tcPr>
          <w:p w14:paraId="3DDE6595">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水土保持监测点</w:t>
            </w:r>
          </w:p>
        </w:tc>
      </w:tr>
      <w:tr w14:paraId="6337901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14:paraId="7C1BFBC5">
            <w:pPr>
              <w:rPr>
                <w:color w:val="auto"/>
              </w:rPr>
            </w:pPr>
          </w:p>
        </w:tc>
        <w:tc>
          <w:tcPr>
            <w:tcW w:w="568" w:type="pct"/>
            <w:vMerge w:val="continue"/>
            <w:tcBorders>
              <w:tl2br w:val="nil"/>
              <w:tr2bl w:val="nil"/>
            </w:tcBorders>
            <w:noWrap/>
            <w:vAlign w:val="center"/>
          </w:tcPr>
          <w:p w14:paraId="67ACE25D">
            <w:pPr>
              <w:rPr>
                <w:color w:val="auto"/>
              </w:rPr>
            </w:pPr>
          </w:p>
        </w:tc>
        <w:tc>
          <w:tcPr>
            <w:tcW w:w="627" w:type="pct"/>
            <w:tcBorders>
              <w:tl2br w:val="nil"/>
              <w:tr2bl w:val="nil"/>
            </w:tcBorders>
            <w:noWrap/>
            <w:vAlign w:val="center"/>
          </w:tcPr>
          <w:p w14:paraId="3254F6C9">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小计（个）</w:t>
            </w:r>
          </w:p>
        </w:tc>
        <w:tc>
          <w:tcPr>
            <w:tcW w:w="660" w:type="pct"/>
            <w:tcBorders>
              <w:tl2br w:val="nil"/>
              <w:tr2bl w:val="nil"/>
            </w:tcBorders>
            <w:noWrap/>
            <w:vAlign w:val="center"/>
          </w:tcPr>
          <w:p w14:paraId="3AAE2552">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综合观测站</w:t>
            </w:r>
          </w:p>
        </w:tc>
        <w:tc>
          <w:tcPr>
            <w:tcW w:w="1159" w:type="pct"/>
            <w:tcBorders>
              <w:tl2br w:val="nil"/>
              <w:tr2bl w:val="nil"/>
            </w:tcBorders>
            <w:noWrap/>
            <w:vAlign w:val="center"/>
          </w:tcPr>
          <w:p w14:paraId="3148C3AE">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径流场</w:t>
            </w:r>
          </w:p>
        </w:tc>
        <w:tc>
          <w:tcPr>
            <w:tcW w:w="798" w:type="pct"/>
            <w:tcBorders>
              <w:tl2br w:val="nil"/>
              <w:tr2bl w:val="nil"/>
            </w:tcBorders>
            <w:noWrap/>
            <w:vAlign w:val="center"/>
          </w:tcPr>
          <w:p w14:paraId="5A9FAA30">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控制站</w:t>
            </w:r>
          </w:p>
        </w:tc>
      </w:tr>
      <w:tr w14:paraId="5E22151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restart"/>
            <w:tcBorders>
              <w:tl2br w:val="nil"/>
              <w:tr2bl w:val="nil"/>
            </w:tcBorders>
            <w:shd w:val="clear" w:color="auto" w:fill="auto"/>
            <w:noWrap/>
            <w:vAlign w:val="center"/>
          </w:tcPr>
          <w:p w14:paraId="0C2718D5">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黔中中山低山石灰岩白云岩轻度流失人居环境维护区</w:t>
            </w:r>
          </w:p>
        </w:tc>
        <w:tc>
          <w:tcPr>
            <w:tcW w:w="568" w:type="pct"/>
            <w:tcBorders>
              <w:tl2br w:val="nil"/>
              <w:tr2bl w:val="nil"/>
            </w:tcBorders>
            <w:shd w:val="clear" w:color="auto" w:fill="auto"/>
            <w:noWrap/>
            <w:vAlign w:val="center"/>
          </w:tcPr>
          <w:p w14:paraId="06150DA0">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贵阳</w:t>
            </w:r>
          </w:p>
        </w:tc>
        <w:tc>
          <w:tcPr>
            <w:tcW w:w="627" w:type="pct"/>
            <w:tcBorders>
              <w:tl2br w:val="nil"/>
              <w:tr2bl w:val="nil"/>
            </w:tcBorders>
            <w:shd w:val="clear" w:color="auto" w:fill="auto"/>
            <w:noWrap/>
            <w:vAlign w:val="center"/>
          </w:tcPr>
          <w:p w14:paraId="4E06AD92">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val="en-US" w:eastAsia="zh-CN" w:bidi="ar-SA"/>
              </w:rPr>
              <w:t>3</w:t>
            </w:r>
          </w:p>
        </w:tc>
        <w:tc>
          <w:tcPr>
            <w:tcW w:w="660" w:type="pct"/>
            <w:tcBorders>
              <w:tl2br w:val="nil"/>
              <w:tr2bl w:val="nil"/>
            </w:tcBorders>
            <w:shd w:val="clear" w:color="000000" w:fill="FFFFFF"/>
            <w:noWrap/>
            <w:vAlign w:val="center"/>
          </w:tcPr>
          <w:p w14:paraId="27B67B85">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乌当毛栗科</w:t>
            </w:r>
          </w:p>
        </w:tc>
        <w:tc>
          <w:tcPr>
            <w:tcW w:w="1159" w:type="pct"/>
            <w:tcBorders>
              <w:tl2br w:val="nil"/>
              <w:tr2bl w:val="nil"/>
            </w:tcBorders>
            <w:noWrap/>
            <w:vAlign w:val="center"/>
          </w:tcPr>
          <w:p w14:paraId="25967AE5">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修文龙场、平坝凯掌</w:t>
            </w:r>
          </w:p>
        </w:tc>
        <w:tc>
          <w:tcPr>
            <w:tcW w:w="798" w:type="pct"/>
            <w:tcBorders>
              <w:tl2br w:val="nil"/>
              <w:tr2bl w:val="nil"/>
            </w:tcBorders>
            <w:noWrap/>
            <w:vAlign w:val="center"/>
          </w:tcPr>
          <w:p w14:paraId="1F123D86">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　</w:t>
            </w:r>
          </w:p>
        </w:tc>
      </w:tr>
      <w:tr w14:paraId="0C80B8F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14:paraId="36E1BC6F">
            <w:pPr>
              <w:rPr>
                <w:color w:val="auto"/>
              </w:rPr>
            </w:pPr>
          </w:p>
        </w:tc>
        <w:tc>
          <w:tcPr>
            <w:tcW w:w="568" w:type="pct"/>
            <w:tcBorders>
              <w:tl2br w:val="nil"/>
              <w:tr2bl w:val="nil"/>
            </w:tcBorders>
            <w:noWrap/>
            <w:vAlign w:val="center"/>
          </w:tcPr>
          <w:p w14:paraId="548809E7">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遵义</w:t>
            </w:r>
          </w:p>
        </w:tc>
        <w:tc>
          <w:tcPr>
            <w:tcW w:w="627" w:type="pct"/>
            <w:tcBorders>
              <w:tl2br w:val="nil"/>
              <w:tr2bl w:val="nil"/>
            </w:tcBorders>
            <w:noWrap/>
            <w:vAlign w:val="center"/>
          </w:tcPr>
          <w:p w14:paraId="30BEC4BD">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1</w:t>
            </w:r>
          </w:p>
        </w:tc>
        <w:tc>
          <w:tcPr>
            <w:tcW w:w="660" w:type="pct"/>
            <w:tcBorders>
              <w:tl2br w:val="nil"/>
              <w:tr2bl w:val="nil"/>
            </w:tcBorders>
            <w:noWrap/>
            <w:vAlign w:val="center"/>
          </w:tcPr>
          <w:p w14:paraId="6B1B6CB3">
            <w:pPr>
              <w:adjustRightInd w:val="0"/>
              <w:snapToGrid w:val="0"/>
              <w:spacing w:after="0" w:line="240" w:lineRule="auto"/>
              <w:jc w:val="center"/>
              <w:rPr>
                <w:rFonts w:ascii="Times New Roman" w:hAnsi="Times New Roman" w:cs="Times New Roman"/>
                <w:color w:val="auto"/>
                <w:lang w:eastAsia="zh-CN" w:bidi="ar-SA"/>
              </w:rPr>
            </w:pPr>
          </w:p>
        </w:tc>
        <w:tc>
          <w:tcPr>
            <w:tcW w:w="1159" w:type="pct"/>
            <w:tcBorders>
              <w:tl2br w:val="nil"/>
              <w:tr2bl w:val="nil"/>
            </w:tcBorders>
            <w:noWrap/>
            <w:vAlign w:val="center"/>
          </w:tcPr>
          <w:p w14:paraId="738DB267">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遵义浒洋水</w:t>
            </w:r>
          </w:p>
        </w:tc>
        <w:tc>
          <w:tcPr>
            <w:tcW w:w="798" w:type="pct"/>
            <w:tcBorders>
              <w:tl2br w:val="nil"/>
              <w:tr2bl w:val="nil"/>
            </w:tcBorders>
            <w:noWrap/>
            <w:vAlign w:val="center"/>
          </w:tcPr>
          <w:p w14:paraId="360D70BD">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r>
      <w:tr w14:paraId="6287AD2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14:paraId="49B45F7F">
            <w:pPr>
              <w:rPr>
                <w:color w:val="auto"/>
              </w:rPr>
            </w:pPr>
          </w:p>
        </w:tc>
        <w:tc>
          <w:tcPr>
            <w:tcW w:w="568" w:type="pct"/>
            <w:tcBorders>
              <w:tl2br w:val="nil"/>
              <w:tr2bl w:val="nil"/>
            </w:tcBorders>
            <w:noWrap/>
            <w:vAlign w:val="center"/>
          </w:tcPr>
          <w:p w14:paraId="43546C90">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安顺</w:t>
            </w:r>
          </w:p>
        </w:tc>
        <w:tc>
          <w:tcPr>
            <w:tcW w:w="627" w:type="pct"/>
            <w:tcBorders>
              <w:tl2br w:val="nil"/>
              <w:tr2bl w:val="nil"/>
            </w:tcBorders>
            <w:noWrap/>
            <w:vAlign w:val="center"/>
          </w:tcPr>
          <w:p w14:paraId="76F519E5">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1</w:t>
            </w:r>
          </w:p>
        </w:tc>
        <w:tc>
          <w:tcPr>
            <w:tcW w:w="660" w:type="pct"/>
            <w:tcBorders>
              <w:tl2br w:val="nil"/>
              <w:tr2bl w:val="nil"/>
            </w:tcBorders>
            <w:noWrap/>
            <w:vAlign w:val="center"/>
          </w:tcPr>
          <w:p w14:paraId="53DE7CDB">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1159" w:type="pct"/>
            <w:tcBorders>
              <w:tl2br w:val="nil"/>
              <w:tr2bl w:val="nil"/>
            </w:tcBorders>
            <w:noWrap/>
            <w:vAlign w:val="center"/>
          </w:tcPr>
          <w:p w14:paraId="22883EC6">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西秀三股水</w:t>
            </w:r>
          </w:p>
        </w:tc>
        <w:tc>
          <w:tcPr>
            <w:tcW w:w="798" w:type="pct"/>
            <w:tcBorders>
              <w:tl2br w:val="nil"/>
              <w:tr2bl w:val="nil"/>
            </w:tcBorders>
            <w:noWrap/>
            <w:vAlign w:val="center"/>
          </w:tcPr>
          <w:p w14:paraId="119D7B39">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r>
      <w:tr w14:paraId="746BA96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14:paraId="7B54E2ED">
            <w:pPr>
              <w:rPr>
                <w:color w:val="auto"/>
              </w:rPr>
            </w:pPr>
          </w:p>
        </w:tc>
        <w:tc>
          <w:tcPr>
            <w:tcW w:w="568" w:type="pct"/>
            <w:tcBorders>
              <w:tl2br w:val="nil"/>
              <w:tr2bl w:val="nil"/>
            </w:tcBorders>
            <w:noWrap/>
            <w:vAlign w:val="center"/>
          </w:tcPr>
          <w:p w14:paraId="37FB6245">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黔南</w:t>
            </w:r>
          </w:p>
        </w:tc>
        <w:tc>
          <w:tcPr>
            <w:tcW w:w="627" w:type="pct"/>
            <w:tcBorders>
              <w:tl2br w:val="nil"/>
              <w:tr2bl w:val="nil"/>
            </w:tcBorders>
            <w:noWrap/>
            <w:vAlign w:val="center"/>
          </w:tcPr>
          <w:p w14:paraId="229CE231">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2</w:t>
            </w:r>
          </w:p>
        </w:tc>
        <w:tc>
          <w:tcPr>
            <w:tcW w:w="660" w:type="pct"/>
            <w:tcBorders>
              <w:tl2br w:val="nil"/>
              <w:tr2bl w:val="nil"/>
            </w:tcBorders>
            <w:noWrap/>
            <w:vAlign w:val="center"/>
          </w:tcPr>
          <w:p w14:paraId="73984F8D">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龙里羊鸡冲</w:t>
            </w:r>
          </w:p>
        </w:tc>
        <w:tc>
          <w:tcPr>
            <w:tcW w:w="1159" w:type="pct"/>
            <w:tcBorders>
              <w:tl2br w:val="nil"/>
              <w:tr2bl w:val="nil"/>
            </w:tcBorders>
            <w:noWrap/>
            <w:vAlign w:val="center"/>
          </w:tcPr>
          <w:p w14:paraId="33B0A887">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贵定云雾</w:t>
            </w:r>
          </w:p>
        </w:tc>
        <w:tc>
          <w:tcPr>
            <w:tcW w:w="798" w:type="pct"/>
            <w:tcBorders>
              <w:tl2br w:val="nil"/>
              <w:tr2bl w:val="nil"/>
            </w:tcBorders>
            <w:noWrap/>
            <w:vAlign w:val="center"/>
          </w:tcPr>
          <w:p w14:paraId="1C5D0F9F">
            <w:pPr>
              <w:adjustRightInd w:val="0"/>
              <w:snapToGrid w:val="0"/>
              <w:spacing w:after="0" w:line="240" w:lineRule="auto"/>
              <w:jc w:val="center"/>
              <w:rPr>
                <w:rFonts w:ascii="Times New Roman" w:hAnsi="Times New Roman" w:cs="Times New Roman"/>
                <w:color w:val="auto"/>
                <w:sz w:val="20"/>
                <w:szCs w:val="20"/>
                <w:lang w:eastAsia="zh-CN" w:bidi="ar-SA"/>
              </w:rPr>
            </w:pPr>
          </w:p>
        </w:tc>
      </w:tr>
      <w:tr w14:paraId="17B4440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14:paraId="2366F606">
            <w:pPr>
              <w:rPr>
                <w:color w:val="auto"/>
              </w:rPr>
            </w:pPr>
          </w:p>
        </w:tc>
        <w:tc>
          <w:tcPr>
            <w:tcW w:w="568" w:type="pct"/>
            <w:tcBorders>
              <w:tl2br w:val="nil"/>
              <w:tr2bl w:val="nil"/>
            </w:tcBorders>
            <w:noWrap/>
            <w:vAlign w:val="center"/>
          </w:tcPr>
          <w:p w14:paraId="1D958BE7">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黔东南</w:t>
            </w:r>
          </w:p>
        </w:tc>
        <w:tc>
          <w:tcPr>
            <w:tcW w:w="627" w:type="pct"/>
            <w:tcBorders>
              <w:tl2br w:val="nil"/>
              <w:tr2bl w:val="nil"/>
            </w:tcBorders>
            <w:noWrap/>
            <w:vAlign w:val="center"/>
          </w:tcPr>
          <w:p w14:paraId="49F069CB">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1</w:t>
            </w:r>
          </w:p>
        </w:tc>
        <w:tc>
          <w:tcPr>
            <w:tcW w:w="660" w:type="pct"/>
            <w:tcBorders>
              <w:tl2br w:val="nil"/>
              <w:tr2bl w:val="nil"/>
            </w:tcBorders>
            <w:noWrap/>
            <w:vAlign w:val="center"/>
          </w:tcPr>
          <w:p w14:paraId="57989601">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1159" w:type="pct"/>
            <w:tcBorders>
              <w:tl2br w:val="nil"/>
              <w:tr2bl w:val="nil"/>
            </w:tcBorders>
            <w:noWrap/>
            <w:vAlign w:val="center"/>
          </w:tcPr>
          <w:p w14:paraId="00105A32">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麻江马场</w:t>
            </w:r>
          </w:p>
        </w:tc>
        <w:tc>
          <w:tcPr>
            <w:tcW w:w="798" w:type="pct"/>
            <w:tcBorders>
              <w:tl2br w:val="nil"/>
              <w:tr2bl w:val="nil"/>
            </w:tcBorders>
            <w:noWrap/>
            <w:vAlign w:val="center"/>
          </w:tcPr>
          <w:p w14:paraId="2AFB67E6">
            <w:pPr>
              <w:adjustRightInd w:val="0"/>
              <w:snapToGrid w:val="0"/>
              <w:spacing w:after="0" w:line="240" w:lineRule="auto"/>
              <w:jc w:val="center"/>
              <w:rPr>
                <w:rFonts w:ascii="Times New Roman" w:hAnsi="Times New Roman" w:cs="Times New Roman"/>
                <w:color w:val="auto"/>
                <w:sz w:val="20"/>
                <w:szCs w:val="20"/>
                <w:lang w:eastAsia="zh-CN" w:bidi="ar-SA"/>
              </w:rPr>
            </w:pPr>
          </w:p>
        </w:tc>
      </w:tr>
      <w:tr w14:paraId="707AD31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14:paraId="1416015F">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黔东北低山中山石灰岩白云岩轻度流失土壤保持区</w:t>
            </w:r>
          </w:p>
        </w:tc>
        <w:tc>
          <w:tcPr>
            <w:tcW w:w="568" w:type="pct"/>
            <w:tcBorders>
              <w:tl2br w:val="nil"/>
              <w:tr2bl w:val="nil"/>
            </w:tcBorders>
            <w:noWrap/>
            <w:vAlign w:val="center"/>
          </w:tcPr>
          <w:p w14:paraId="0038BCE8">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铜仁</w:t>
            </w:r>
          </w:p>
        </w:tc>
        <w:tc>
          <w:tcPr>
            <w:tcW w:w="627" w:type="pct"/>
            <w:tcBorders>
              <w:tl2br w:val="nil"/>
              <w:tr2bl w:val="nil"/>
            </w:tcBorders>
            <w:noWrap/>
            <w:vAlign w:val="center"/>
          </w:tcPr>
          <w:p w14:paraId="1D76D310">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val="en-US" w:eastAsia="zh-CN" w:bidi="ar-SA"/>
              </w:rPr>
              <w:t>1</w:t>
            </w:r>
          </w:p>
        </w:tc>
        <w:tc>
          <w:tcPr>
            <w:tcW w:w="660" w:type="pct"/>
            <w:tcBorders>
              <w:tl2br w:val="nil"/>
              <w:tr2bl w:val="nil"/>
            </w:tcBorders>
            <w:noWrap/>
            <w:vAlign w:val="center"/>
          </w:tcPr>
          <w:p w14:paraId="2B64B721">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1159" w:type="pct"/>
            <w:tcBorders>
              <w:tl2br w:val="nil"/>
              <w:tr2bl w:val="nil"/>
            </w:tcBorders>
            <w:noWrap/>
            <w:vAlign w:val="center"/>
          </w:tcPr>
          <w:p w14:paraId="51F2B940">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798" w:type="pct"/>
            <w:tcBorders>
              <w:tl2br w:val="nil"/>
              <w:tr2bl w:val="nil"/>
            </w:tcBorders>
            <w:noWrap/>
            <w:vAlign w:val="center"/>
          </w:tcPr>
          <w:p w14:paraId="448133F9">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思南（二）</w:t>
            </w:r>
          </w:p>
        </w:tc>
      </w:tr>
      <w:tr w14:paraId="5DEFF49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14:paraId="1702F732">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宋体" w:cs="宋体"/>
                <w:color w:val="auto"/>
                <w:sz w:val="20"/>
                <w:szCs w:val="20"/>
                <w:lang w:eastAsia="zh-CN" w:bidi="ar-SA"/>
              </w:rPr>
              <w:t>黔东低山丘陵变质岩白云岩轻度流失土壤保持与生态维护区</w:t>
            </w:r>
          </w:p>
        </w:tc>
        <w:tc>
          <w:tcPr>
            <w:tcW w:w="568" w:type="pct"/>
            <w:tcBorders>
              <w:tl2br w:val="nil"/>
              <w:tr2bl w:val="nil"/>
            </w:tcBorders>
            <w:noWrap/>
            <w:vAlign w:val="center"/>
          </w:tcPr>
          <w:p w14:paraId="21183F44">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铜仁</w:t>
            </w:r>
          </w:p>
        </w:tc>
        <w:tc>
          <w:tcPr>
            <w:tcW w:w="627" w:type="pct"/>
            <w:tcBorders>
              <w:tl2br w:val="nil"/>
              <w:tr2bl w:val="nil"/>
            </w:tcBorders>
            <w:noWrap/>
            <w:vAlign w:val="center"/>
          </w:tcPr>
          <w:p w14:paraId="60EDC527">
            <w:pPr>
              <w:adjustRightInd w:val="0"/>
              <w:snapToGrid w:val="0"/>
              <w:spacing w:after="0" w:line="240" w:lineRule="auto"/>
              <w:jc w:val="center"/>
              <w:rPr>
                <w:rFonts w:ascii="Times New Roman" w:hAnsi="Times New Roman" w:cs="Times New Roman"/>
                <w:color w:val="auto"/>
                <w:sz w:val="20"/>
                <w:szCs w:val="20"/>
                <w:lang w:val="en-US" w:eastAsia="zh-CN" w:bidi="ar-SA"/>
              </w:rPr>
            </w:pPr>
            <w:r>
              <w:rPr>
                <w:rFonts w:hint="eastAsia" w:ascii="Times New Roman" w:hAnsi="Times New Roman" w:cs="Times New Roman"/>
                <w:color w:val="auto"/>
                <w:sz w:val="20"/>
                <w:szCs w:val="20"/>
                <w:lang w:val="en-US" w:eastAsia="zh-CN" w:bidi="ar-SA"/>
              </w:rPr>
              <w:t>2</w:t>
            </w:r>
          </w:p>
        </w:tc>
        <w:tc>
          <w:tcPr>
            <w:tcW w:w="660" w:type="pct"/>
            <w:tcBorders>
              <w:tl2br w:val="nil"/>
              <w:tr2bl w:val="nil"/>
            </w:tcBorders>
            <w:noWrap/>
            <w:vAlign w:val="center"/>
          </w:tcPr>
          <w:p w14:paraId="582A1DBF">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松桃牛郎</w:t>
            </w:r>
          </w:p>
        </w:tc>
        <w:tc>
          <w:tcPr>
            <w:tcW w:w="1159" w:type="pct"/>
            <w:tcBorders>
              <w:tl2br w:val="nil"/>
              <w:tr2bl w:val="nil"/>
            </w:tcBorders>
            <w:noWrap/>
            <w:vAlign w:val="center"/>
          </w:tcPr>
          <w:p w14:paraId="2275C061">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玉屏野鸡河</w:t>
            </w:r>
          </w:p>
        </w:tc>
        <w:tc>
          <w:tcPr>
            <w:tcW w:w="798" w:type="pct"/>
            <w:tcBorders>
              <w:tl2br w:val="nil"/>
              <w:tr2bl w:val="nil"/>
            </w:tcBorders>
            <w:noWrap/>
            <w:vAlign w:val="center"/>
          </w:tcPr>
          <w:p w14:paraId="7E869B7D">
            <w:pPr>
              <w:adjustRightInd w:val="0"/>
              <w:snapToGrid w:val="0"/>
              <w:spacing w:after="0" w:line="240" w:lineRule="auto"/>
              <w:jc w:val="center"/>
              <w:rPr>
                <w:rFonts w:ascii="Times New Roman" w:hAnsi="Times New Roman" w:cs="Times New Roman"/>
                <w:color w:val="auto"/>
                <w:sz w:val="20"/>
                <w:szCs w:val="20"/>
                <w:lang w:eastAsia="zh-CN" w:bidi="ar-SA"/>
              </w:rPr>
            </w:pPr>
          </w:p>
        </w:tc>
      </w:tr>
      <w:tr w14:paraId="7C96396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restart"/>
            <w:tcBorders>
              <w:tl2br w:val="nil"/>
              <w:tr2bl w:val="nil"/>
            </w:tcBorders>
            <w:noWrap/>
            <w:vAlign w:val="center"/>
          </w:tcPr>
          <w:p w14:paraId="6D670BFC">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黔西南中山石灰岩变质岩中度流失蓄水保水区</w:t>
            </w:r>
          </w:p>
        </w:tc>
        <w:tc>
          <w:tcPr>
            <w:tcW w:w="568" w:type="pct"/>
            <w:tcBorders>
              <w:tl2br w:val="nil"/>
              <w:tr2bl w:val="nil"/>
            </w:tcBorders>
            <w:noWrap/>
            <w:vAlign w:val="center"/>
          </w:tcPr>
          <w:p w14:paraId="0E170777">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六盘水</w:t>
            </w:r>
          </w:p>
        </w:tc>
        <w:tc>
          <w:tcPr>
            <w:tcW w:w="627" w:type="pct"/>
            <w:tcBorders>
              <w:tl2br w:val="nil"/>
              <w:tr2bl w:val="nil"/>
            </w:tcBorders>
            <w:noWrap/>
            <w:vAlign w:val="center"/>
          </w:tcPr>
          <w:p w14:paraId="49CDF736">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val="en-US" w:eastAsia="zh-CN" w:bidi="ar-SA"/>
              </w:rPr>
              <w:t>2</w:t>
            </w:r>
          </w:p>
        </w:tc>
        <w:tc>
          <w:tcPr>
            <w:tcW w:w="660" w:type="pct"/>
            <w:tcBorders>
              <w:tl2br w:val="nil"/>
              <w:tr2bl w:val="nil"/>
            </w:tcBorders>
            <w:noWrap/>
            <w:vAlign w:val="center"/>
          </w:tcPr>
          <w:p w14:paraId="17289E33">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1159" w:type="pct"/>
            <w:tcBorders>
              <w:tl2br w:val="nil"/>
              <w:tr2bl w:val="nil"/>
            </w:tcBorders>
            <w:noWrap/>
            <w:vAlign w:val="center"/>
          </w:tcPr>
          <w:p w14:paraId="253FB427">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eastAsia="zh-CN" w:bidi="ar-SA"/>
              </w:rPr>
              <w:t>六盘水</w:t>
            </w:r>
            <w:r>
              <w:rPr>
                <w:rFonts w:ascii="Times New Roman" w:hAnsi="Times New Roman" w:cs="Times New Roman"/>
                <w:color w:val="auto"/>
                <w:sz w:val="20"/>
                <w:szCs w:val="20"/>
                <w:lang w:eastAsia="zh-CN" w:bidi="ar-SA"/>
              </w:rPr>
              <w:t>龙贵地</w:t>
            </w:r>
          </w:p>
        </w:tc>
        <w:tc>
          <w:tcPr>
            <w:tcW w:w="798" w:type="pct"/>
            <w:tcBorders>
              <w:tl2br w:val="nil"/>
              <w:tr2bl w:val="nil"/>
            </w:tcBorders>
            <w:noWrap/>
            <w:vAlign w:val="center"/>
          </w:tcPr>
          <w:p w14:paraId="72716F73">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水城大渡口</w:t>
            </w:r>
          </w:p>
        </w:tc>
      </w:tr>
      <w:tr w14:paraId="51C0FE1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14:paraId="6BCF9613">
            <w:pPr>
              <w:rPr>
                <w:color w:val="auto"/>
              </w:rPr>
            </w:pPr>
          </w:p>
        </w:tc>
        <w:tc>
          <w:tcPr>
            <w:tcW w:w="568" w:type="pct"/>
            <w:tcBorders>
              <w:tl2br w:val="nil"/>
              <w:tr2bl w:val="nil"/>
            </w:tcBorders>
            <w:noWrap/>
            <w:vAlign w:val="center"/>
          </w:tcPr>
          <w:p w14:paraId="7FA36E97">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安顺</w:t>
            </w:r>
          </w:p>
        </w:tc>
        <w:tc>
          <w:tcPr>
            <w:tcW w:w="627" w:type="pct"/>
            <w:tcBorders>
              <w:tl2br w:val="nil"/>
              <w:tr2bl w:val="nil"/>
            </w:tcBorders>
            <w:noWrap/>
            <w:vAlign w:val="center"/>
          </w:tcPr>
          <w:p w14:paraId="316385EC">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1</w:t>
            </w:r>
          </w:p>
        </w:tc>
        <w:tc>
          <w:tcPr>
            <w:tcW w:w="660" w:type="pct"/>
            <w:tcBorders>
              <w:tl2br w:val="nil"/>
              <w:tr2bl w:val="nil"/>
            </w:tcBorders>
            <w:noWrap/>
            <w:vAlign w:val="center"/>
          </w:tcPr>
          <w:p w14:paraId="1D073932">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关岭蚂蝗田</w:t>
            </w:r>
          </w:p>
        </w:tc>
        <w:tc>
          <w:tcPr>
            <w:tcW w:w="1159" w:type="pct"/>
            <w:tcBorders>
              <w:tl2br w:val="nil"/>
              <w:tr2bl w:val="nil"/>
            </w:tcBorders>
            <w:noWrap/>
            <w:vAlign w:val="center"/>
          </w:tcPr>
          <w:p w14:paraId="63226777">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798" w:type="pct"/>
            <w:tcBorders>
              <w:tl2br w:val="nil"/>
              <w:tr2bl w:val="nil"/>
            </w:tcBorders>
            <w:noWrap/>
            <w:vAlign w:val="center"/>
          </w:tcPr>
          <w:p w14:paraId="6AF8618A">
            <w:pPr>
              <w:adjustRightInd w:val="0"/>
              <w:snapToGrid w:val="0"/>
              <w:spacing w:after="0" w:line="240" w:lineRule="auto"/>
              <w:jc w:val="center"/>
              <w:rPr>
                <w:rFonts w:ascii="Times New Roman" w:hAnsi="Times New Roman" w:cs="Times New Roman"/>
                <w:color w:val="auto"/>
                <w:sz w:val="20"/>
                <w:szCs w:val="20"/>
                <w:lang w:eastAsia="zh-CN" w:bidi="ar-SA"/>
              </w:rPr>
            </w:pPr>
          </w:p>
        </w:tc>
      </w:tr>
      <w:tr w14:paraId="2E728B6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14:paraId="4D63C784">
            <w:pPr>
              <w:rPr>
                <w:color w:val="auto"/>
              </w:rPr>
            </w:pPr>
          </w:p>
        </w:tc>
        <w:tc>
          <w:tcPr>
            <w:tcW w:w="568" w:type="pct"/>
            <w:tcBorders>
              <w:tl2br w:val="nil"/>
              <w:tr2bl w:val="nil"/>
            </w:tcBorders>
            <w:noWrap/>
            <w:vAlign w:val="center"/>
          </w:tcPr>
          <w:p w14:paraId="6062757C">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黔西南</w:t>
            </w:r>
          </w:p>
        </w:tc>
        <w:tc>
          <w:tcPr>
            <w:tcW w:w="627" w:type="pct"/>
            <w:tcBorders>
              <w:tl2br w:val="nil"/>
              <w:tr2bl w:val="nil"/>
            </w:tcBorders>
            <w:noWrap/>
            <w:vAlign w:val="center"/>
          </w:tcPr>
          <w:p w14:paraId="18637A53">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1</w:t>
            </w:r>
          </w:p>
        </w:tc>
        <w:tc>
          <w:tcPr>
            <w:tcW w:w="660" w:type="pct"/>
            <w:tcBorders>
              <w:tl2br w:val="nil"/>
              <w:tr2bl w:val="nil"/>
            </w:tcBorders>
            <w:noWrap/>
            <w:vAlign w:val="center"/>
          </w:tcPr>
          <w:p w14:paraId="7D1B0024">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1159" w:type="pct"/>
            <w:tcBorders>
              <w:tl2br w:val="nil"/>
              <w:tr2bl w:val="nil"/>
            </w:tcBorders>
            <w:noWrap/>
            <w:vAlign w:val="center"/>
          </w:tcPr>
          <w:p w14:paraId="4DEEBDE1">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798" w:type="pct"/>
            <w:tcBorders>
              <w:tl2br w:val="nil"/>
              <w:tr2bl w:val="nil"/>
            </w:tcBorders>
            <w:noWrap/>
            <w:vAlign w:val="center"/>
          </w:tcPr>
          <w:p w14:paraId="5F188040">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普安草坪头</w:t>
            </w:r>
          </w:p>
        </w:tc>
      </w:tr>
      <w:tr w14:paraId="55FF715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14:paraId="6ED929B1">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宋体" w:cs="宋体"/>
                <w:color w:val="auto"/>
                <w:sz w:val="20"/>
                <w:szCs w:val="20"/>
                <w:lang w:eastAsia="zh-CN" w:bidi="ar-SA"/>
              </w:rPr>
              <w:t>黔北中山低山石灰岩变质岩中度流失水质维护与生态维护区</w:t>
            </w:r>
          </w:p>
        </w:tc>
        <w:tc>
          <w:tcPr>
            <w:tcW w:w="568" w:type="pct"/>
            <w:tcBorders>
              <w:tl2br w:val="nil"/>
              <w:tr2bl w:val="nil"/>
            </w:tcBorders>
            <w:noWrap/>
            <w:vAlign w:val="center"/>
          </w:tcPr>
          <w:p w14:paraId="38D15E06">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eastAsia="zh-CN" w:bidi="ar-SA"/>
              </w:rPr>
              <w:t>遵义</w:t>
            </w:r>
          </w:p>
        </w:tc>
        <w:tc>
          <w:tcPr>
            <w:tcW w:w="627" w:type="pct"/>
            <w:tcBorders>
              <w:tl2br w:val="nil"/>
              <w:tr2bl w:val="nil"/>
            </w:tcBorders>
            <w:noWrap/>
            <w:vAlign w:val="center"/>
          </w:tcPr>
          <w:p w14:paraId="2D4D9F1A">
            <w:pPr>
              <w:adjustRightInd w:val="0"/>
              <w:snapToGrid w:val="0"/>
              <w:spacing w:after="0" w:line="240" w:lineRule="auto"/>
              <w:jc w:val="center"/>
              <w:rPr>
                <w:rFonts w:ascii="Times New Roman" w:hAnsi="Times New Roman" w:cs="Times New Roman"/>
                <w:color w:val="auto"/>
                <w:sz w:val="20"/>
                <w:szCs w:val="20"/>
                <w:lang w:val="en-US" w:eastAsia="zh-CN" w:bidi="ar-SA"/>
              </w:rPr>
            </w:pPr>
            <w:r>
              <w:rPr>
                <w:rFonts w:hint="eastAsia" w:ascii="Times New Roman" w:hAnsi="Times New Roman" w:cs="Times New Roman"/>
                <w:color w:val="auto"/>
                <w:sz w:val="20"/>
                <w:szCs w:val="20"/>
                <w:lang w:val="en-US" w:eastAsia="zh-CN" w:bidi="ar-SA"/>
              </w:rPr>
              <w:t>0</w:t>
            </w:r>
          </w:p>
        </w:tc>
        <w:tc>
          <w:tcPr>
            <w:tcW w:w="660" w:type="pct"/>
            <w:tcBorders>
              <w:tl2br w:val="nil"/>
              <w:tr2bl w:val="nil"/>
            </w:tcBorders>
            <w:noWrap/>
            <w:vAlign w:val="center"/>
          </w:tcPr>
          <w:p w14:paraId="7FB4B30E">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1159" w:type="pct"/>
            <w:tcBorders>
              <w:tl2br w:val="nil"/>
              <w:tr2bl w:val="nil"/>
            </w:tcBorders>
            <w:noWrap/>
            <w:vAlign w:val="center"/>
          </w:tcPr>
          <w:p w14:paraId="49F4AF1C">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798" w:type="pct"/>
            <w:tcBorders>
              <w:tl2br w:val="nil"/>
              <w:tr2bl w:val="nil"/>
            </w:tcBorders>
            <w:noWrap/>
            <w:vAlign w:val="center"/>
          </w:tcPr>
          <w:p w14:paraId="0AAAFCC0">
            <w:pPr>
              <w:adjustRightInd w:val="0"/>
              <w:snapToGrid w:val="0"/>
              <w:spacing w:after="0" w:line="240" w:lineRule="auto"/>
              <w:jc w:val="center"/>
              <w:rPr>
                <w:rFonts w:ascii="Times New Roman" w:hAnsi="Times New Roman" w:cs="Times New Roman"/>
                <w:b/>
                <w:bCs/>
                <w:color w:val="auto"/>
                <w:sz w:val="20"/>
                <w:szCs w:val="20"/>
                <w:lang w:eastAsia="zh-CN" w:bidi="ar-SA"/>
              </w:rPr>
            </w:pPr>
          </w:p>
        </w:tc>
      </w:tr>
      <w:tr w14:paraId="3E31117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14:paraId="481B66C5">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黔北低山丘陵砂岩无明显流失生态维护区</w:t>
            </w:r>
          </w:p>
        </w:tc>
        <w:tc>
          <w:tcPr>
            <w:tcW w:w="568" w:type="pct"/>
            <w:tcBorders>
              <w:tl2br w:val="nil"/>
              <w:tr2bl w:val="nil"/>
            </w:tcBorders>
            <w:noWrap/>
            <w:vAlign w:val="center"/>
          </w:tcPr>
          <w:p w14:paraId="30AAB419">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遵义</w:t>
            </w:r>
          </w:p>
        </w:tc>
        <w:tc>
          <w:tcPr>
            <w:tcW w:w="627" w:type="pct"/>
            <w:tcBorders>
              <w:tl2br w:val="nil"/>
              <w:tr2bl w:val="nil"/>
            </w:tcBorders>
            <w:noWrap/>
            <w:vAlign w:val="center"/>
          </w:tcPr>
          <w:p w14:paraId="3BDC59F5">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2</w:t>
            </w:r>
          </w:p>
        </w:tc>
        <w:tc>
          <w:tcPr>
            <w:tcW w:w="660" w:type="pct"/>
            <w:tcBorders>
              <w:tl2br w:val="nil"/>
              <w:tr2bl w:val="nil"/>
            </w:tcBorders>
            <w:noWrap/>
            <w:vAlign w:val="center"/>
          </w:tcPr>
          <w:p w14:paraId="7ECA59CA">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赤水大石河</w:t>
            </w:r>
          </w:p>
        </w:tc>
        <w:tc>
          <w:tcPr>
            <w:tcW w:w="1159" w:type="pct"/>
            <w:tcBorders>
              <w:tl2br w:val="nil"/>
              <w:tr2bl w:val="nil"/>
            </w:tcBorders>
            <w:noWrap/>
            <w:vAlign w:val="center"/>
          </w:tcPr>
          <w:p w14:paraId="1172EC97">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798" w:type="pct"/>
            <w:tcBorders>
              <w:tl2br w:val="nil"/>
              <w:tr2bl w:val="nil"/>
            </w:tcBorders>
            <w:noWrap/>
            <w:vAlign w:val="center"/>
          </w:tcPr>
          <w:p w14:paraId="37FCC2F1">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赤水</w:t>
            </w:r>
          </w:p>
        </w:tc>
      </w:tr>
      <w:tr w14:paraId="67BB133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shd w:val="clear" w:color="auto" w:fill="auto"/>
            <w:noWrap/>
            <w:vAlign w:val="center"/>
          </w:tcPr>
          <w:p w14:paraId="168395D7">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黔西北中山石灰岩变质岩中度流失土壤保持与蓄水保水区</w:t>
            </w:r>
          </w:p>
        </w:tc>
        <w:tc>
          <w:tcPr>
            <w:tcW w:w="568" w:type="pct"/>
            <w:tcBorders>
              <w:tl2br w:val="nil"/>
              <w:tr2bl w:val="nil"/>
            </w:tcBorders>
            <w:shd w:val="clear" w:color="auto" w:fill="auto"/>
            <w:noWrap/>
            <w:vAlign w:val="center"/>
          </w:tcPr>
          <w:p w14:paraId="17263C97">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毕节</w:t>
            </w:r>
          </w:p>
        </w:tc>
        <w:tc>
          <w:tcPr>
            <w:tcW w:w="627" w:type="pct"/>
            <w:tcBorders>
              <w:tl2br w:val="nil"/>
              <w:tr2bl w:val="nil"/>
            </w:tcBorders>
            <w:shd w:val="clear" w:color="auto" w:fill="auto"/>
            <w:noWrap/>
            <w:vAlign w:val="center"/>
          </w:tcPr>
          <w:p w14:paraId="18A1CFFD">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5</w:t>
            </w:r>
          </w:p>
        </w:tc>
        <w:tc>
          <w:tcPr>
            <w:tcW w:w="660" w:type="pct"/>
            <w:tcBorders>
              <w:tl2br w:val="nil"/>
              <w:tr2bl w:val="nil"/>
            </w:tcBorders>
            <w:shd w:val="clear" w:color="auto" w:fill="auto"/>
            <w:noWrap/>
            <w:vAlign w:val="center"/>
          </w:tcPr>
          <w:p w14:paraId="2A14AB7F">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1159" w:type="pct"/>
            <w:tcBorders>
              <w:tl2br w:val="nil"/>
              <w:tr2bl w:val="nil"/>
            </w:tcBorders>
            <w:shd w:val="clear" w:color="000000" w:fill="FFFFFF"/>
            <w:noWrap/>
            <w:vAlign w:val="center"/>
          </w:tcPr>
          <w:p w14:paraId="3E0AE758">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毕节丁家寨、威宁白马、黔西雨明、金沙箐门</w:t>
            </w:r>
          </w:p>
        </w:tc>
        <w:tc>
          <w:tcPr>
            <w:tcW w:w="798" w:type="pct"/>
            <w:tcBorders>
              <w:tl2br w:val="nil"/>
              <w:tr2bl w:val="nil"/>
            </w:tcBorders>
            <w:noWrap/>
            <w:vAlign w:val="center"/>
          </w:tcPr>
          <w:p w14:paraId="50CC0AEF">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赤水河</w:t>
            </w:r>
          </w:p>
        </w:tc>
      </w:tr>
      <w:tr w14:paraId="684A4D5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14:paraId="59E2E5FE">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黔南低山石灰岩变质岩轻度流失生态维护区</w:t>
            </w:r>
          </w:p>
        </w:tc>
        <w:tc>
          <w:tcPr>
            <w:tcW w:w="568" w:type="pct"/>
            <w:tcBorders>
              <w:tl2br w:val="nil"/>
              <w:tr2bl w:val="nil"/>
            </w:tcBorders>
            <w:noWrap/>
            <w:vAlign w:val="center"/>
          </w:tcPr>
          <w:p w14:paraId="0F7B4852">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黔南</w:t>
            </w:r>
          </w:p>
        </w:tc>
        <w:tc>
          <w:tcPr>
            <w:tcW w:w="627" w:type="pct"/>
            <w:tcBorders>
              <w:tl2br w:val="nil"/>
              <w:tr2bl w:val="nil"/>
            </w:tcBorders>
            <w:noWrap/>
            <w:vAlign w:val="center"/>
          </w:tcPr>
          <w:p w14:paraId="6774CD5D">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val="en-US" w:eastAsia="zh-CN" w:bidi="ar-SA"/>
              </w:rPr>
              <w:t>2</w:t>
            </w:r>
          </w:p>
        </w:tc>
        <w:tc>
          <w:tcPr>
            <w:tcW w:w="660" w:type="pct"/>
            <w:tcBorders>
              <w:tl2br w:val="nil"/>
              <w:tr2bl w:val="nil"/>
            </w:tcBorders>
            <w:noWrap/>
            <w:vAlign w:val="center"/>
          </w:tcPr>
          <w:p w14:paraId="2FC40B1F">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eastAsia="宋体" w:cs="Times New Roman"/>
                <w:color w:val="auto"/>
                <w:sz w:val="20"/>
                <w:szCs w:val="20"/>
                <w:lang w:eastAsia="zh-CN" w:bidi="ar-SA"/>
              </w:rPr>
              <w:t>荔波</w:t>
            </w:r>
          </w:p>
        </w:tc>
        <w:tc>
          <w:tcPr>
            <w:tcW w:w="1159" w:type="pct"/>
            <w:tcBorders>
              <w:tl2br w:val="nil"/>
              <w:tr2bl w:val="nil"/>
            </w:tcBorders>
            <w:noWrap/>
            <w:vAlign w:val="center"/>
          </w:tcPr>
          <w:p w14:paraId="73CED060">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798" w:type="pct"/>
            <w:tcBorders>
              <w:tl2br w:val="nil"/>
              <w:tr2bl w:val="nil"/>
            </w:tcBorders>
            <w:noWrap/>
            <w:vAlign w:val="center"/>
          </w:tcPr>
          <w:p w14:paraId="724D3718">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荔波县荔波</w:t>
            </w:r>
          </w:p>
        </w:tc>
      </w:tr>
      <w:tr w14:paraId="1221C81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14:paraId="7B8CA397">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黔东南低山丘陵变质岩石灰岩轻度流失生态维护与水源涵养区</w:t>
            </w:r>
          </w:p>
        </w:tc>
        <w:tc>
          <w:tcPr>
            <w:tcW w:w="568" w:type="pct"/>
            <w:tcBorders>
              <w:tl2br w:val="nil"/>
              <w:tr2bl w:val="nil"/>
            </w:tcBorders>
            <w:noWrap/>
            <w:vAlign w:val="center"/>
          </w:tcPr>
          <w:p w14:paraId="4746A103">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黔东南</w:t>
            </w:r>
          </w:p>
        </w:tc>
        <w:tc>
          <w:tcPr>
            <w:tcW w:w="627" w:type="pct"/>
            <w:tcBorders>
              <w:tl2br w:val="nil"/>
              <w:tr2bl w:val="nil"/>
            </w:tcBorders>
            <w:noWrap/>
            <w:vAlign w:val="center"/>
          </w:tcPr>
          <w:p w14:paraId="37EC26DD">
            <w:pPr>
              <w:adjustRightInd w:val="0"/>
              <w:snapToGrid w:val="0"/>
              <w:spacing w:after="0" w:line="240" w:lineRule="auto"/>
              <w:jc w:val="center"/>
              <w:rPr>
                <w:rFonts w:ascii="Times New Roman" w:hAnsi="Times New Roman" w:cs="Times New Roman"/>
                <w:color w:val="auto"/>
                <w:sz w:val="20"/>
                <w:szCs w:val="20"/>
                <w:lang w:eastAsia="zh-CN" w:bidi="ar-SA"/>
              </w:rPr>
            </w:pPr>
            <w:r>
              <w:rPr>
                <w:rFonts w:hint="eastAsia" w:ascii="Times New Roman" w:hAnsi="Times New Roman" w:cs="Times New Roman"/>
                <w:color w:val="auto"/>
                <w:sz w:val="20"/>
                <w:szCs w:val="20"/>
                <w:lang w:val="en-US" w:eastAsia="zh-CN" w:bidi="ar-SA"/>
              </w:rPr>
              <w:t>1</w:t>
            </w:r>
          </w:p>
        </w:tc>
        <w:tc>
          <w:tcPr>
            <w:tcW w:w="660" w:type="pct"/>
            <w:tcBorders>
              <w:tl2br w:val="nil"/>
              <w:tr2bl w:val="nil"/>
            </w:tcBorders>
            <w:noWrap/>
            <w:vAlign w:val="center"/>
          </w:tcPr>
          <w:p w14:paraId="4BF706AD">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1159" w:type="pct"/>
            <w:tcBorders>
              <w:tl2br w:val="nil"/>
              <w:tr2bl w:val="nil"/>
            </w:tcBorders>
            <w:noWrap/>
            <w:vAlign w:val="center"/>
          </w:tcPr>
          <w:p w14:paraId="4F6376D3">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798" w:type="pct"/>
            <w:tcBorders>
              <w:tl2br w:val="nil"/>
              <w:tr2bl w:val="nil"/>
            </w:tcBorders>
            <w:noWrap/>
            <w:vAlign w:val="center"/>
          </w:tcPr>
          <w:p w14:paraId="7E56D762">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台江施洞</w:t>
            </w:r>
          </w:p>
        </w:tc>
      </w:tr>
      <w:tr w14:paraId="3A75A5B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restart"/>
            <w:tcBorders>
              <w:tl2br w:val="nil"/>
              <w:tr2bl w:val="nil"/>
            </w:tcBorders>
            <w:shd w:val="clear" w:color="auto" w:fill="auto"/>
            <w:noWrap/>
            <w:vAlign w:val="center"/>
          </w:tcPr>
          <w:p w14:paraId="4D6D6D09">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黔南中低山变质岩石灰岩轻度流失土壤保持区</w:t>
            </w:r>
          </w:p>
        </w:tc>
        <w:tc>
          <w:tcPr>
            <w:tcW w:w="568" w:type="pct"/>
            <w:tcBorders>
              <w:tl2br w:val="nil"/>
              <w:tr2bl w:val="nil"/>
            </w:tcBorders>
            <w:shd w:val="clear" w:color="auto" w:fill="auto"/>
            <w:noWrap/>
            <w:vAlign w:val="center"/>
          </w:tcPr>
          <w:p w14:paraId="7AFC3ACE">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黔西南</w:t>
            </w:r>
          </w:p>
        </w:tc>
        <w:tc>
          <w:tcPr>
            <w:tcW w:w="627" w:type="pct"/>
            <w:tcBorders>
              <w:tl2br w:val="nil"/>
              <w:tr2bl w:val="nil"/>
            </w:tcBorders>
            <w:shd w:val="clear" w:color="auto" w:fill="auto"/>
            <w:noWrap/>
            <w:vAlign w:val="center"/>
          </w:tcPr>
          <w:p w14:paraId="19348802">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2</w:t>
            </w:r>
          </w:p>
        </w:tc>
        <w:tc>
          <w:tcPr>
            <w:tcW w:w="660" w:type="pct"/>
            <w:tcBorders>
              <w:tl2br w:val="nil"/>
              <w:tr2bl w:val="nil"/>
            </w:tcBorders>
            <w:shd w:val="clear" w:color="auto" w:fill="auto"/>
            <w:noWrap/>
            <w:vAlign w:val="center"/>
          </w:tcPr>
          <w:p w14:paraId="48450195">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1159" w:type="pct"/>
            <w:tcBorders>
              <w:tl2br w:val="nil"/>
              <w:tr2bl w:val="nil"/>
            </w:tcBorders>
            <w:noWrap/>
            <w:vAlign w:val="center"/>
          </w:tcPr>
          <w:p w14:paraId="672AA353">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兴义兴西湖</w:t>
            </w:r>
          </w:p>
        </w:tc>
        <w:tc>
          <w:tcPr>
            <w:tcW w:w="798" w:type="pct"/>
            <w:tcBorders>
              <w:tl2br w:val="nil"/>
              <w:tr2bl w:val="nil"/>
            </w:tcBorders>
            <w:noWrap/>
            <w:vAlign w:val="center"/>
          </w:tcPr>
          <w:p w14:paraId="1B68DAB8">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兴义马岭（三）</w:t>
            </w:r>
          </w:p>
        </w:tc>
      </w:tr>
      <w:tr w14:paraId="0688C9F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vMerge w:val="continue"/>
            <w:tcBorders>
              <w:tl2br w:val="nil"/>
              <w:tr2bl w:val="nil"/>
            </w:tcBorders>
            <w:noWrap/>
            <w:vAlign w:val="center"/>
          </w:tcPr>
          <w:p w14:paraId="44639723">
            <w:pPr>
              <w:rPr>
                <w:color w:val="auto"/>
              </w:rPr>
            </w:pPr>
          </w:p>
        </w:tc>
        <w:tc>
          <w:tcPr>
            <w:tcW w:w="568" w:type="pct"/>
            <w:tcBorders>
              <w:tl2br w:val="nil"/>
              <w:tr2bl w:val="nil"/>
            </w:tcBorders>
            <w:noWrap/>
            <w:vAlign w:val="center"/>
          </w:tcPr>
          <w:p w14:paraId="48A824F5">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黔南</w:t>
            </w:r>
          </w:p>
        </w:tc>
        <w:tc>
          <w:tcPr>
            <w:tcW w:w="627" w:type="pct"/>
            <w:tcBorders>
              <w:tl2br w:val="nil"/>
              <w:tr2bl w:val="nil"/>
            </w:tcBorders>
            <w:noWrap/>
            <w:vAlign w:val="center"/>
          </w:tcPr>
          <w:p w14:paraId="514E82AA">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val="en-US" w:eastAsia="zh-CN" w:bidi="ar-SA"/>
              </w:rPr>
              <w:t>2</w:t>
            </w:r>
          </w:p>
        </w:tc>
        <w:tc>
          <w:tcPr>
            <w:tcW w:w="660" w:type="pct"/>
            <w:tcBorders>
              <w:tl2br w:val="nil"/>
              <w:tr2bl w:val="nil"/>
            </w:tcBorders>
            <w:noWrap/>
            <w:vAlign w:val="center"/>
          </w:tcPr>
          <w:p w14:paraId="424E0A83">
            <w:pPr>
              <w:adjustRightInd w:val="0"/>
              <w:snapToGrid w:val="0"/>
              <w:spacing w:after="0" w:line="240" w:lineRule="auto"/>
              <w:jc w:val="center"/>
              <w:rPr>
                <w:rFonts w:ascii="Times New Roman" w:hAnsi="Times New Roman" w:cs="Times New Roman"/>
                <w:color w:val="auto"/>
                <w:sz w:val="20"/>
                <w:szCs w:val="20"/>
                <w:lang w:eastAsia="zh-CN" w:bidi="ar-SA"/>
              </w:rPr>
            </w:pPr>
          </w:p>
        </w:tc>
        <w:tc>
          <w:tcPr>
            <w:tcW w:w="1159" w:type="pct"/>
            <w:tcBorders>
              <w:tl2br w:val="nil"/>
              <w:tr2bl w:val="nil"/>
            </w:tcBorders>
            <w:noWrap/>
            <w:vAlign w:val="center"/>
          </w:tcPr>
          <w:p w14:paraId="0C57A27E">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color w:val="auto"/>
                <w:sz w:val="20"/>
                <w:szCs w:val="20"/>
                <w:lang w:eastAsia="zh-CN" w:bidi="ar-SA"/>
              </w:rPr>
              <w:t>　</w:t>
            </w:r>
          </w:p>
        </w:tc>
        <w:tc>
          <w:tcPr>
            <w:tcW w:w="798" w:type="pct"/>
            <w:tcBorders>
              <w:tl2br w:val="nil"/>
              <w:tr2bl w:val="nil"/>
            </w:tcBorders>
            <w:noWrap/>
            <w:vAlign w:val="center"/>
          </w:tcPr>
          <w:p w14:paraId="1F51188E">
            <w:pPr>
              <w:adjustRightInd w:val="0"/>
              <w:snapToGrid w:val="0"/>
              <w:spacing w:after="0" w:line="240" w:lineRule="auto"/>
              <w:jc w:val="center"/>
              <w:rPr>
                <w:rFonts w:ascii="Times New Roman" w:hAnsi="Times New Roman" w:cs="Times New Roman"/>
                <w:color w:val="auto"/>
                <w:sz w:val="20"/>
                <w:szCs w:val="20"/>
                <w:lang w:eastAsia="zh-CN" w:bidi="ar-SA"/>
              </w:rPr>
            </w:pPr>
            <w:r>
              <w:rPr>
                <w:rFonts w:ascii="Times New Roman" w:hAnsi="Times New Roman" w:cs="Times New Roman"/>
                <w:b/>
                <w:bCs/>
                <w:color w:val="auto"/>
                <w:sz w:val="20"/>
                <w:szCs w:val="20"/>
                <w:lang w:eastAsia="zh-CN" w:bidi="ar-SA"/>
              </w:rPr>
              <w:t>罗甸雷公滩</w:t>
            </w:r>
          </w:p>
        </w:tc>
      </w:tr>
      <w:tr w14:paraId="4355576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85" w:type="pct"/>
            <w:tcBorders>
              <w:tl2br w:val="nil"/>
              <w:tr2bl w:val="nil"/>
            </w:tcBorders>
            <w:noWrap/>
            <w:vAlign w:val="center"/>
          </w:tcPr>
          <w:p w14:paraId="439991FC">
            <w:pPr>
              <w:adjustRightInd w:val="0"/>
              <w:snapToGrid w:val="0"/>
              <w:spacing w:after="0" w:line="240" w:lineRule="auto"/>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　</w:t>
            </w:r>
          </w:p>
        </w:tc>
        <w:tc>
          <w:tcPr>
            <w:tcW w:w="568" w:type="pct"/>
            <w:tcBorders>
              <w:tl2br w:val="nil"/>
              <w:tr2bl w:val="nil"/>
            </w:tcBorders>
            <w:noWrap/>
            <w:vAlign w:val="center"/>
          </w:tcPr>
          <w:p w14:paraId="4C778C74">
            <w:pPr>
              <w:adjustRightInd w:val="0"/>
              <w:snapToGrid w:val="0"/>
              <w:spacing w:after="0" w:line="240" w:lineRule="auto"/>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　</w:t>
            </w:r>
          </w:p>
        </w:tc>
        <w:tc>
          <w:tcPr>
            <w:tcW w:w="627" w:type="pct"/>
            <w:tcBorders>
              <w:tl2br w:val="nil"/>
              <w:tr2bl w:val="nil"/>
            </w:tcBorders>
            <w:noWrap/>
            <w:vAlign w:val="center"/>
          </w:tcPr>
          <w:p w14:paraId="537D4E2F">
            <w:pPr>
              <w:adjustRightInd w:val="0"/>
              <w:snapToGrid w:val="0"/>
              <w:spacing w:after="0" w:line="240" w:lineRule="auto"/>
              <w:jc w:val="center"/>
              <w:rPr>
                <w:rFonts w:ascii="Times New Roman" w:hAnsi="Times New Roman" w:cs="Times New Roman"/>
                <w:b/>
                <w:bCs/>
                <w:color w:val="auto"/>
                <w:sz w:val="20"/>
                <w:szCs w:val="20"/>
                <w:lang w:val="en-US" w:eastAsia="zh-CN" w:bidi="ar-SA"/>
              </w:rPr>
            </w:pPr>
            <w:r>
              <w:rPr>
                <w:rFonts w:hint="eastAsia" w:ascii="Times New Roman" w:hAnsi="Times New Roman" w:cs="Times New Roman"/>
                <w:b/>
                <w:bCs/>
                <w:color w:val="auto"/>
                <w:sz w:val="20"/>
                <w:szCs w:val="20"/>
                <w:lang w:val="en-US" w:eastAsia="zh-CN" w:bidi="ar-SA"/>
              </w:rPr>
              <w:t>29</w:t>
            </w:r>
          </w:p>
        </w:tc>
        <w:tc>
          <w:tcPr>
            <w:tcW w:w="660" w:type="pct"/>
            <w:tcBorders>
              <w:tl2br w:val="nil"/>
              <w:tr2bl w:val="nil"/>
            </w:tcBorders>
            <w:noWrap/>
            <w:vAlign w:val="center"/>
          </w:tcPr>
          <w:p w14:paraId="4C3FF525">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val="en-US" w:eastAsia="zh-CN" w:bidi="ar-SA"/>
              </w:rPr>
              <w:t>6</w:t>
            </w:r>
          </w:p>
        </w:tc>
        <w:tc>
          <w:tcPr>
            <w:tcW w:w="1159" w:type="pct"/>
            <w:tcBorders>
              <w:tl2br w:val="nil"/>
              <w:tr2bl w:val="nil"/>
            </w:tcBorders>
            <w:noWrap/>
            <w:vAlign w:val="center"/>
          </w:tcPr>
          <w:p w14:paraId="0BD21CB2">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eastAsia="zh-CN" w:bidi="ar-SA"/>
              </w:rPr>
              <w:t>1</w:t>
            </w:r>
            <w:r>
              <w:rPr>
                <w:rFonts w:ascii="Times New Roman" w:hAnsi="Times New Roman" w:cs="Times New Roman"/>
                <w:b/>
                <w:bCs/>
                <w:color w:val="auto"/>
                <w:sz w:val="20"/>
                <w:szCs w:val="20"/>
                <w:lang w:val="en-US" w:eastAsia="zh-CN" w:bidi="ar-SA"/>
              </w:rPr>
              <w:t>4</w:t>
            </w:r>
          </w:p>
        </w:tc>
        <w:tc>
          <w:tcPr>
            <w:tcW w:w="798" w:type="pct"/>
            <w:tcBorders>
              <w:tl2br w:val="nil"/>
              <w:tr2bl w:val="nil"/>
            </w:tcBorders>
            <w:noWrap/>
            <w:vAlign w:val="center"/>
          </w:tcPr>
          <w:p w14:paraId="3176719F">
            <w:pPr>
              <w:adjustRightInd w:val="0"/>
              <w:snapToGrid w:val="0"/>
              <w:spacing w:after="0" w:line="240" w:lineRule="auto"/>
              <w:jc w:val="center"/>
              <w:rPr>
                <w:rFonts w:ascii="Times New Roman" w:hAnsi="Times New Roman" w:cs="Times New Roman"/>
                <w:b/>
                <w:bCs/>
                <w:color w:val="auto"/>
                <w:sz w:val="20"/>
                <w:szCs w:val="20"/>
                <w:lang w:eastAsia="zh-CN" w:bidi="ar-SA"/>
              </w:rPr>
            </w:pPr>
            <w:r>
              <w:rPr>
                <w:rFonts w:ascii="Times New Roman" w:hAnsi="Times New Roman" w:cs="Times New Roman"/>
                <w:b/>
                <w:bCs/>
                <w:color w:val="auto"/>
                <w:sz w:val="20"/>
                <w:szCs w:val="20"/>
                <w:lang w:val="en-US" w:eastAsia="zh-CN" w:bidi="ar-SA"/>
              </w:rPr>
              <w:t>9</w:t>
            </w:r>
          </w:p>
        </w:tc>
      </w:tr>
    </w:tbl>
    <w:p w14:paraId="47CC30E1">
      <w:pPr>
        <w:adjustRightInd w:val="0"/>
        <w:snapToGrid w:val="0"/>
        <w:spacing w:after="0" w:line="240" w:lineRule="atLeast"/>
        <w:jc w:val="left"/>
        <w:rPr>
          <w:rFonts w:hint="default"/>
          <w:color w:val="auto"/>
          <w:lang w:val="en-US" w:eastAsia="zh-CN"/>
        </w:rPr>
      </w:pPr>
      <w:r>
        <w:rPr>
          <w:rFonts w:hint="default" w:ascii="Times New Roman" w:hAnsi="Times New Roman" w:cs="Times New Roman"/>
          <w:b/>
          <w:color w:val="auto"/>
          <w:sz w:val="20"/>
          <w:szCs w:val="20"/>
          <w:lang w:eastAsia="zh-CN" w:bidi="ar-SA"/>
        </w:rPr>
        <w:t>备注：字体加粗的为利用的9个水文站点</w:t>
      </w:r>
      <w:r>
        <w:rPr>
          <w:rFonts w:hint="default" w:ascii="Times New Roman" w:hAnsi="Times New Roman" w:cs="Times New Roman"/>
          <w:b/>
          <w:color w:val="auto"/>
          <w:sz w:val="20"/>
          <w:szCs w:val="20"/>
          <w:lang w:val="en-US" w:eastAsia="zh-CN" w:bidi="ar-SA"/>
        </w:rPr>
        <w:t>。</w:t>
      </w:r>
    </w:p>
    <w:p w14:paraId="281BD024">
      <w:pPr>
        <w:pStyle w:val="18"/>
        <w:rPr>
          <w:rFonts w:hint="default"/>
          <w:color w:val="auto"/>
          <w:lang w:eastAsia="zh-CN"/>
        </w:rPr>
        <w:sectPr>
          <w:headerReference r:id="rId16" w:type="default"/>
          <w:footerReference r:id="rId17" w:type="default"/>
          <w:footnotePr>
            <w:numFmt w:val="decimalEnclosedCircleChinese"/>
            <w:numRestart w:val="eachPage"/>
          </w:footnotePr>
          <w:pgSz w:w="16840" w:h="11915" w:orient="landscape"/>
          <w:pgMar w:top="1440" w:right="1440" w:bottom="1440" w:left="1440" w:header="851" w:footer="992" w:gutter="0"/>
          <w:pgBorders>
            <w:top w:val="none" w:sz="0" w:space="0"/>
            <w:left w:val="none" w:sz="0" w:space="0"/>
            <w:bottom w:val="none" w:sz="0" w:space="0"/>
            <w:right w:val="none" w:sz="0" w:space="0"/>
          </w:pgBorders>
          <w:cols w:space="0" w:num="1"/>
          <w:rtlGutter w:val="0"/>
          <w:docGrid w:type="lines" w:linePitch="312" w:charSpace="0"/>
        </w:sectPr>
      </w:pPr>
    </w:p>
    <w:p w14:paraId="15504BE5">
      <w:pPr>
        <w:pStyle w:val="9"/>
        <w:bidi w:val="0"/>
        <w:rPr>
          <w:rFonts w:ascii="Times New Roman" w:hAnsi="Times New Roman" w:eastAsia="宋体" w:cs="Times New Roman"/>
          <w:color w:val="auto"/>
          <w:kern w:val="2"/>
          <w:sz w:val="28"/>
          <w:szCs w:val="28"/>
          <w:lang w:val="en-US" w:eastAsia="zh-CN" w:bidi="ar-SA"/>
        </w:rPr>
      </w:pPr>
      <w:r>
        <w:rPr>
          <w:rFonts w:ascii="Times New Roman" w:hAnsi="Times New Roman" w:eastAsia="宋体" w:cs="Times New Roman"/>
          <w:color w:val="auto"/>
          <w:kern w:val="2"/>
          <w:sz w:val="28"/>
          <w:szCs w:val="28"/>
          <w:lang w:val="en-US" w:eastAsia="zh-CN" w:bidi="ar-SA"/>
        </w:rPr>
        <w:t>（4）省级</w:t>
      </w:r>
      <w:r>
        <w:rPr>
          <w:rFonts w:ascii="Times New Roman" w:hAnsi="Times New Roman" w:cs="Times New Roman"/>
          <w:color w:val="auto"/>
          <w:kern w:val="2"/>
          <w:sz w:val="28"/>
          <w:szCs w:val="28"/>
          <w:lang w:val="en-US" w:eastAsia="zh-CN" w:bidi="ar-SA"/>
        </w:rPr>
        <w:t>水土流失动态</w:t>
      </w:r>
      <w:r>
        <w:rPr>
          <w:rFonts w:ascii="Times New Roman" w:hAnsi="Times New Roman" w:eastAsia="宋体" w:cs="Times New Roman"/>
          <w:color w:val="auto"/>
          <w:kern w:val="2"/>
          <w:sz w:val="28"/>
          <w:szCs w:val="28"/>
          <w:lang w:val="en-US" w:eastAsia="zh-CN" w:bidi="ar-SA"/>
        </w:rPr>
        <w:t>监测</w:t>
      </w:r>
      <w:r>
        <w:rPr>
          <w:rFonts w:ascii="Times New Roman" w:hAnsi="Times New Roman" w:cs="Times New Roman"/>
          <w:color w:val="auto"/>
          <w:kern w:val="2"/>
          <w:sz w:val="28"/>
          <w:szCs w:val="28"/>
          <w:lang w:val="en-US" w:eastAsia="zh-CN" w:bidi="ar-SA"/>
        </w:rPr>
        <w:t>与重点区域水土保持监测</w:t>
      </w:r>
    </w:p>
    <w:p w14:paraId="6211769D">
      <w:pPr>
        <w:pStyle w:val="9"/>
        <w:bidi w:val="0"/>
        <w:rPr>
          <w:rFonts w:ascii="Times New Roman" w:hAnsi="Times New Roman" w:eastAsia="宋体" w:cs="Times New Roman"/>
          <w:color w:val="auto"/>
          <w:kern w:val="2"/>
          <w:sz w:val="28"/>
          <w:szCs w:val="28"/>
          <w:lang w:val="en-US" w:eastAsia="zh-CN" w:bidi="ar-SA"/>
        </w:rPr>
      </w:pPr>
      <w:r>
        <w:rPr>
          <w:rFonts w:ascii="Times New Roman" w:hAnsi="Times New Roman" w:cs="Times New Roman"/>
          <w:color w:val="auto"/>
          <w:sz w:val="28"/>
          <w:szCs w:val="28"/>
          <w:lang w:val="en-US" w:eastAsia="zh-CN"/>
        </w:rPr>
        <w:t>根据全国水土流失动态监测部署，开展省级</w:t>
      </w:r>
      <w:r>
        <w:rPr>
          <w:rFonts w:ascii="Times New Roman" w:hAnsi="Times New Roman" w:cs="Times New Roman"/>
          <w:color w:val="auto"/>
          <w:kern w:val="2"/>
          <w:sz w:val="28"/>
          <w:szCs w:val="28"/>
          <w:lang w:val="en-US" w:eastAsia="zh-CN" w:bidi="ar-SA"/>
        </w:rPr>
        <w:t>水土流失动态</w:t>
      </w:r>
      <w:r>
        <w:rPr>
          <w:rFonts w:ascii="Times New Roman" w:hAnsi="Times New Roman" w:eastAsia="宋体" w:cs="Times New Roman"/>
          <w:color w:val="auto"/>
          <w:kern w:val="2"/>
          <w:sz w:val="28"/>
          <w:szCs w:val="28"/>
          <w:lang w:val="en-US" w:eastAsia="zh-CN" w:bidi="ar-SA"/>
        </w:rPr>
        <w:t>监测，</w:t>
      </w:r>
      <w:r>
        <w:rPr>
          <w:rFonts w:ascii="Times New Roman" w:hAnsi="Times New Roman" w:cs="Times New Roman"/>
          <w:color w:val="auto"/>
          <w:sz w:val="28"/>
          <w:szCs w:val="28"/>
          <w:lang w:val="en-US" w:eastAsia="zh-CN"/>
        </w:rPr>
        <w:t>按期发布各年度水土保持公报，2026年发布</w:t>
      </w:r>
      <w:r>
        <w:rPr>
          <w:rFonts w:ascii="Times New Roman" w:hAnsi="Times New Roman" w:cs="Times New Roman"/>
          <w:color w:val="auto"/>
          <w:sz w:val="28"/>
          <w:szCs w:val="28"/>
          <w:lang w:eastAsia="zh-CN"/>
        </w:rPr>
        <w:t>《贵州省水土保持公告》（20</w:t>
      </w:r>
      <w:r>
        <w:rPr>
          <w:rFonts w:ascii="Times New Roman" w:hAnsi="Times New Roman" w:cs="Times New Roman"/>
          <w:color w:val="auto"/>
          <w:sz w:val="28"/>
          <w:szCs w:val="28"/>
          <w:lang w:val="en-US" w:eastAsia="zh-CN"/>
        </w:rPr>
        <w:t>21</w:t>
      </w:r>
      <w:r>
        <w:rPr>
          <w:rFonts w:ascii="Times New Roman" w:hAnsi="Times New Roman" w:eastAsia="仿宋_GB2312" w:cs="Times New Roman"/>
          <w:color w:val="auto"/>
          <w:kern w:val="2"/>
          <w:sz w:val="28"/>
          <w:szCs w:val="28"/>
          <w:lang w:eastAsia="zh-CN" w:bidi="ar-SA"/>
        </w:rPr>
        <w:t>~</w:t>
      </w:r>
      <w:r>
        <w:rPr>
          <w:rFonts w:ascii="Times New Roman" w:hAnsi="Times New Roman" w:cs="Times New Roman"/>
          <w:color w:val="auto"/>
          <w:sz w:val="28"/>
          <w:szCs w:val="28"/>
          <w:lang w:eastAsia="zh-CN"/>
        </w:rPr>
        <w:t>202</w:t>
      </w:r>
      <w:r>
        <w:rPr>
          <w:rFonts w:ascii="Times New Roman" w:hAnsi="Times New Roman" w:cs="Times New Roman"/>
          <w:color w:val="auto"/>
          <w:sz w:val="28"/>
          <w:szCs w:val="28"/>
          <w:lang w:val="en-US" w:eastAsia="zh-CN"/>
        </w:rPr>
        <w:t>5年）；并</w:t>
      </w:r>
      <w:r>
        <w:rPr>
          <w:rFonts w:ascii="Times New Roman" w:hAnsi="Times New Roman" w:eastAsia="宋体" w:cs="Times New Roman"/>
          <w:color w:val="auto"/>
          <w:sz w:val="28"/>
          <w:szCs w:val="28"/>
          <w:lang w:val="en-US" w:eastAsia="zh-CN"/>
        </w:rPr>
        <w:t>对遵义赤水河流域、威宁草海等全省关注的重点区域开展水土保持监测，回答政府和社会关心的热点问题。</w:t>
      </w:r>
    </w:p>
    <w:p w14:paraId="4FD7371B">
      <w:pPr>
        <w:pStyle w:val="9"/>
        <w:bidi w:val="0"/>
        <w:rPr>
          <w:rFonts w:ascii="Times New Roman" w:hAnsi="Times New Roman" w:eastAsia="宋体" w:cs="Times New Roman"/>
          <w:color w:val="auto"/>
          <w:kern w:val="2"/>
          <w:sz w:val="28"/>
          <w:szCs w:val="28"/>
          <w:lang w:val="en-US" w:eastAsia="zh-CN" w:bidi="ar-SA"/>
        </w:rPr>
      </w:pPr>
      <w:r>
        <w:rPr>
          <w:rFonts w:ascii="Times New Roman" w:hAnsi="Times New Roman" w:eastAsia="宋体" w:cs="Times New Roman"/>
          <w:color w:val="auto"/>
          <w:kern w:val="2"/>
          <w:sz w:val="28"/>
          <w:szCs w:val="28"/>
          <w:lang w:val="en-US" w:eastAsia="zh-CN" w:bidi="ar-SA"/>
        </w:rPr>
        <w:t>（</w:t>
      </w:r>
      <w:r>
        <w:rPr>
          <w:rFonts w:ascii="Times New Roman" w:hAnsi="Times New Roman" w:cs="Times New Roman"/>
          <w:color w:val="auto"/>
          <w:kern w:val="2"/>
          <w:sz w:val="28"/>
          <w:szCs w:val="28"/>
          <w:lang w:val="en-US" w:eastAsia="zh-CN" w:bidi="ar-SA"/>
        </w:rPr>
        <w:t>5</w:t>
      </w:r>
      <w:r>
        <w:rPr>
          <w:rFonts w:ascii="Times New Roman" w:hAnsi="Times New Roman" w:eastAsia="宋体" w:cs="Times New Roman"/>
          <w:color w:val="auto"/>
          <w:kern w:val="2"/>
          <w:sz w:val="28"/>
          <w:szCs w:val="28"/>
          <w:lang w:val="en-US" w:eastAsia="zh-CN" w:bidi="ar-SA"/>
        </w:rPr>
        <w:t>）水土保持重点工程监测管理</w:t>
      </w:r>
    </w:p>
    <w:p w14:paraId="22F86406">
      <w:pPr>
        <w:pStyle w:val="9"/>
        <w:bidi w:val="0"/>
        <w:rPr>
          <w:rFonts w:ascii="Times New Roman" w:hAnsi="Times New Roman" w:eastAsia="宋体" w:cs="Times New Roman"/>
          <w:color w:val="auto"/>
          <w:kern w:val="2"/>
          <w:sz w:val="28"/>
          <w:szCs w:val="28"/>
          <w:lang w:val="en-US" w:eastAsia="zh-CN" w:bidi="ar-SA"/>
        </w:rPr>
      </w:pPr>
      <w:r>
        <w:rPr>
          <w:rFonts w:ascii="Times New Roman" w:hAnsi="Times New Roman" w:eastAsia="宋体" w:cs="Times New Roman"/>
          <w:color w:val="auto"/>
          <w:sz w:val="28"/>
          <w:szCs w:val="28"/>
          <w:lang w:val="en-US" w:eastAsia="zh-CN"/>
        </w:rPr>
        <w:t>各级水行政主管部门应加强水土保持重点工程监测管理及现场核查，</w:t>
      </w:r>
      <w:r>
        <w:rPr>
          <w:rFonts w:ascii="Times New Roman" w:hAnsi="Times New Roman" w:eastAsia="宋体" w:cs="Times New Roman"/>
          <w:color w:val="auto"/>
          <w:sz w:val="28"/>
          <w:szCs w:val="28"/>
          <w:lang w:eastAsia="zh-CN"/>
        </w:rPr>
        <w:t>通过重点治理工程的监测管理，发现重点治理工程存在的问题，总结成功的经验，为国家水土保持重点工程管理的政策制订、机制创新和提质增效提供技术支撑。对各年度实施的国家水土保持重点工程，建设单位应委托具有监测能力的技术服务单位开展过程监测。各级水行政主管部门，</w:t>
      </w:r>
      <w:r>
        <w:rPr>
          <w:rFonts w:ascii="Times New Roman" w:hAnsi="Times New Roman" w:eastAsia="宋体" w:cs="Times New Roman"/>
          <w:color w:val="auto"/>
          <w:sz w:val="28"/>
          <w:szCs w:val="28"/>
          <w:lang w:val="en-US" w:eastAsia="zh-CN"/>
        </w:rPr>
        <w:t>开展国家</w:t>
      </w:r>
      <w:r>
        <w:rPr>
          <w:rFonts w:ascii="Times New Roman" w:hAnsi="Times New Roman" w:eastAsia="宋体" w:cs="Times New Roman"/>
          <w:color w:val="auto"/>
          <w:sz w:val="28"/>
          <w:szCs w:val="28"/>
          <w:lang w:eastAsia="zh-CN"/>
        </w:rPr>
        <w:t>水土保持重点工程监测管理和现场核查的项目数量，不低于本级审批项目的</w:t>
      </w:r>
      <w:r>
        <w:rPr>
          <w:rFonts w:ascii="Times New Roman" w:hAnsi="Times New Roman" w:eastAsia="宋体" w:cs="Times New Roman"/>
          <w:color w:val="auto"/>
          <w:sz w:val="28"/>
          <w:szCs w:val="28"/>
          <w:lang w:val="en-US" w:eastAsia="zh-CN"/>
        </w:rPr>
        <w:t>20%。</w:t>
      </w:r>
    </w:p>
    <w:p w14:paraId="796E2905">
      <w:pPr>
        <w:pStyle w:val="9"/>
        <w:bidi w:val="0"/>
        <w:rPr>
          <w:rFonts w:ascii="Times New Roman" w:hAnsi="Times New Roman" w:eastAsia="宋体" w:cs="Times New Roman"/>
          <w:color w:val="auto"/>
          <w:kern w:val="2"/>
          <w:sz w:val="28"/>
          <w:szCs w:val="28"/>
          <w:lang w:val="en-US" w:eastAsia="zh-CN" w:bidi="ar-SA"/>
        </w:rPr>
      </w:pPr>
      <w:r>
        <w:rPr>
          <w:rFonts w:ascii="Times New Roman" w:hAnsi="Times New Roman" w:eastAsia="宋体" w:cs="Times New Roman"/>
          <w:color w:val="auto"/>
          <w:kern w:val="2"/>
          <w:sz w:val="28"/>
          <w:szCs w:val="28"/>
          <w:lang w:val="en-US" w:eastAsia="zh-CN" w:bidi="ar-SA"/>
        </w:rPr>
        <w:t>（</w:t>
      </w:r>
      <w:r>
        <w:rPr>
          <w:rFonts w:ascii="Times New Roman" w:hAnsi="Times New Roman" w:cs="Times New Roman"/>
          <w:color w:val="auto"/>
          <w:kern w:val="2"/>
          <w:sz w:val="28"/>
          <w:szCs w:val="28"/>
          <w:lang w:val="en-US" w:eastAsia="zh-CN" w:bidi="ar-SA"/>
        </w:rPr>
        <w:t>6</w:t>
      </w:r>
      <w:r>
        <w:rPr>
          <w:rFonts w:ascii="Times New Roman" w:hAnsi="Times New Roman" w:eastAsia="宋体" w:cs="Times New Roman"/>
          <w:color w:val="auto"/>
          <w:kern w:val="2"/>
          <w:sz w:val="28"/>
          <w:szCs w:val="28"/>
          <w:lang w:val="en-US" w:eastAsia="zh-CN" w:bidi="ar-SA"/>
        </w:rPr>
        <w:t>）生产建设项目监测管理及监督性监测</w:t>
      </w:r>
    </w:p>
    <w:p w14:paraId="16CDDE66">
      <w:pPr>
        <w:adjustRightInd w:val="0"/>
        <w:spacing w:after="0" w:line="360" w:lineRule="auto"/>
        <w:ind w:firstLine="560" w:firstLineChars="200"/>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lang w:val="en-US" w:eastAsia="zh-CN"/>
        </w:rPr>
        <w:t>各级水行政主管部门应加强监测管理及现场核查，确保在建</w:t>
      </w:r>
      <w:r>
        <w:rPr>
          <w:rFonts w:ascii="Times New Roman" w:hAnsi="Times New Roman" w:eastAsia="宋体" w:cs="Times New Roman"/>
          <w:color w:val="auto"/>
          <w:sz w:val="28"/>
          <w:szCs w:val="28"/>
          <w:lang w:eastAsia="zh-CN"/>
        </w:rPr>
        <w:t>生产建设项目开展监测的比例不低于本级审批方案的</w:t>
      </w:r>
      <w:r>
        <w:rPr>
          <w:rFonts w:ascii="Times New Roman" w:hAnsi="Times New Roman" w:eastAsia="宋体" w:cs="Times New Roman"/>
          <w:color w:val="auto"/>
          <w:sz w:val="28"/>
          <w:szCs w:val="28"/>
          <w:lang w:val="en-US" w:eastAsia="zh-CN"/>
        </w:rPr>
        <w:t>95%，对</w:t>
      </w:r>
      <w:r>
        <w:rPr>
          <w:rFonts w:ascii="Times New Roman" w:hAnsi="Times New Roman" w:eastAsia="宋体" w:cs="Times New Roman"/>
          <w:color w:val="auto"/>
          <w:sz w:val="28"/>
          <w:szCs w:val="28"/>
          <w:lang w:eastAsia="zh-CN"/>
        </w:rPr>
        <w:t>监测“</w:t>
      </w:r>
      <w:r>
        <w:rPr>
          <w:rFonts w:ascii="Times New Roman" w:hAnsi="Times New Roman" w:eastAsia="宋体" w:cs="Times New Roman"/>
          <w:color w:val="auto"/>
          <w:sz w:val="28"/>
          <w:szCs w:val="28"/>
          <w:lang w:val="en-US" w:eastAsia="zh-CN"/>
        </w:rPr>
        <w:t>三色评价</w:t>
      </w:r>
      <w:r>
        <w:rPr>
          <w:rFonts w:ascii="Times New Roman" w:hAnsi="Times New Roman" w:eastAsia="宋体" w:cs="Times New Roman"/>
          <w:color w:val="auto"/>
          <w:sz w:val="28"/>
          <w:szCs w:val="28"/>
          <w:lang w:eastAsia="zh-CN"/>
        </w:rPr>
        <w:t>”结论为红色的项目</w:t>
      </w:r>
      <w:r>
        <w:rPr>
          <w:rFonts w:ascii="Times New Roman" w:hAnsi="Times New Roman" w:eastAsia="宋体" w:cs="Times New Roman"/>
          <w:color w:val="auto"/>
          <w:sz w:val="28"/>
          <w:szCs w:val="28"/>
          <w:lang w:val="en-US" w:eastAsia="zh-CN"/>
        </w:rPr>
        <w:t>核查率达100%</w:t>
      </w:r>
      <w:r>
        <w:rPr>
          <w:rFonts w:ascii="Times New Roman" w:hAnsi="Times New Roman" w:eastAsia="宋体" w:cs="Times New Roman"/>
          <w:color w:val="auto"/>
          <w:sz w:val="28"/>
          <w:szCs w:val="28"/>
          <w:lang w:eastAsia="zh-CN"/>
        </w:rPr>
        <w:t>，其他项目按不低于20%。</w:t>
      </w:r>
    </w:p>
    <w:p w14:paraId="30D8BEBA">
      <w:pPr>
        <w:adjustRightInd w:val="0"/>
        <w:spacing w:after="0" w:line="360" w:lineRule="auto"/>
        <w:ind w:firstLine="560" w:firstLineChars="200"/>
        <w:rPr>
          <w:rFonts w:ascii="Times New Roman" w:hAnsi="Times New Roman" w:eastAsia="宋体" w:cs="Times New Roman"/>
          <w:color w:val="auto"/>
          <w:sz w:val="28"/>
          <w:szCs w:val="28"/>
          <w:lang w:eastAsia="zh-CN"/>
        </w:rPr>
      </w:pPr>
      <w:r>
        <w:rPr>
          <w:rFonts w:ascii="Times New Roman" w:hAnsi="Times New Roman" w:eastAsia="宋体" w:cs="Times New Roman"/>
          <w:color w:val="auto"/>
          <w:sz w:val="28"/>
          <w:szCs w:val="28"/>
          <w:lang w:eastAsia="zh-CN"/>
        </w:rPr>
        <w:t>对生产建设项目集中区、重大生产建设项目和其它建设或运行过程中水土流失危害较严重的项目，运用遥感、无人机等多种手段和方法，每年有计划、有重点地组织开展20个在建生产建设项目水土流失监督性监测，为监督执法提供技术支撑，为生产建设项目水土保持工作的有效开展提供依据。</w:t>
      </w:r>
    </w:p>
    <w:p w14:paraId="3FA57DEE">
      <w:pPr>
        <w:pStyle w:val="9"/>
        <w:bidi w:val="0"/>
        <w:rPr>
          <w:rFonts w:ascii="Times New Roman" w:hAnsi="Times New Roman" w:eastAsia="宋体" w:cs="Times New Roman"/>
          <w:color w:val="auto"/>
          <w:kern w:val="2"/>
          <w:sz w:val="28"/>
          <w:szCs w:val="28"/>
          <w:lang w:val="en-US" w:eastAsia="zh-CN" w:bidi="ar-SA"/>
        </w:rPr>
      </w:pPr>
      <w:r>
        <w:rPr>
          <w:rFonts w:ascii="Times New Roman" w:hAnsi="Times New Roman" w:eastAsia="宋体" w:cs="Times New Roman"/>
          <w:color w:val="auto"/>
          <w:kern w:val="2"/>
          <w:sz w:val="28"/>
          <w:szCs w:val="28"/>
          <w:lang w:val="en-US" w:eastAsia="zh-CN" w:bidi="ar-SA"/>
        </w:rPr>
        <w:t>（</w:t>
      </w:r>
      <w:r>
        <w:rPr>
          <w:rFonts w:ascii="Times New Roman" w:hAnsi="Times New Roman" w:cs="Times New Roman"/>
          <w:color w:val="auto"/>
          <w:kern w:val="2"/>
          <w:sz w:val="28"/>
          <w:szCs w:val="28"/>
          <w:lang w:val="en-US" w:eastAsia="zh-CN" w:bidi="ar-SA"/>
        </w:rPr>
        <w:t>7</w:t>
      </w:r>
      <w:r>
        <w:rPr>
          <w:rFonts w:ascii="Times New Roman" w:hAnsi="Times New Roman" w:eastAsia="宋体" w:cs="Times New Roman"/>
          <w:color w:val="auto"/>
          <w:kern w:val="2"/>
          <w:sz w:val="28"/>
          <w:szCs w:val="28"/>
          <w:lang w:val="en-US" w:eastAsia="zh-CN" w:bidi="ar-SA"/>
        </w:rPr>
        <w:t>）应急和案件查处</w:t>
      </w:r>
      <w:r>
        <w:rPr>
          <w:rFonts w:ascii="Times New Roman" w:hAnsi="Times New Roman" w:cs="Times New Roman"/>
          <w:color w:val="auto"/>
          <w:kern w:val="2"/>
          <w:sz w:val="28"/>
          <w:szCs w:val="28"/>
          <w:lang w:val="en-US" w:eastAsia="zh-CN" w:bidi="ar-SA"/>
        </w:rPr>
        <w:t>监测</w:t>
      </w:r>
    </w:p>
    <w:p w14:paraId="5E24AC03">
      <w:pPr>
        <w:adjustRightInd w:val="0"/>
        <w:spacing w:after="0" w:line="360" w:lineRule="auto"/>
        <w:ind w:firstLine="560" w:firstLineChars="200"/>
        <w:rPr>
          <w:rFonts w:ascii="Times New Roman" w:hAnsi="Times New Roman" w:eastAsia="宋体" w:cs="Times New Roman"/>
          <w:color w:val="auto"/>
          <w:sz w:val="28"/>
          <w:szCs w:val="28"/>
          <w:lang w:val="en-US" w:eastAsia="zh-CN"/>
        </w:rPr>
      </w:pPr>
      <w:r>
        <w:rPr>
          <w:rFonts w:ascii="Times New Roman" w:hAnsi="Times New Roman" w:eastAsia="宋体" w:cs="Times New Roman"/>
          <w:color w:val="auto"/>
          <w:sz w:val="28"/>
          <w:szCs w:val="28"/>
          <w:lang w:val="en-US" w:eastAsia="zh-CN"/>
        </w:rPr>
        <w:t>结合全省突发水土流失灾害事件和监督管理中的违法事实鉴定，每年开展1-2件应急和案件查处监测。</w:t>
      </w:r>
    </w:p>
    <w:p w14:paraId="39E2F988">
      <w:pPr>
        <w:adjustRightInd w:val="0"/>
        <w:spacing w:after="0" w:line="360" w:lineRule="auto"/>
        <w:ind w:firstLine="560" w:firstLineChars="200"/>
        <w:rPr>
          <w:rFonts w:ascii="Times New Roman" w:hAnsi="Times New Roman" w:eastAsia="宋体" w:cs="Times New Roman"/>
          <w:color w:val="auto"/>
          <w:sz w:val="28"/>
          <w:szCs w:val="28"/>
          <w:lang w:val="en-US" w:eastAsia="zh-CN"/>
        </w:rPr>
      </w:pPr>
      <w:r>
        <w:rPr>
          <w:rFonts w:ascii="Times New Roman" w:hAnsi="Times New Roman" w:eastAsia="宋体" w:cs="Times New Roman"/>
          <w:color w:val="auto"/>
          <w:sz w:val="28"/>
          <w:szCs w:val="28"/>
          <w:lang w:val="en-US" w:eastAsia="zh-CN"/>
        </w:rPr>
        <w:t>（8）加强监测队伍建设</w:t>
      </w:r>
    </w:p>
    <w:p w14:paraId="6718C578">
      <w:pPr>
        <w:pStyle w:val="9"/>
        <w:bidi w:val="0"/>
        <w:rPr>
          <w:rFonts w:hint="default" w:ascii="Times New Roman" w:hAnsi="Times New Roman" w:cs="Times New Roman" w:eastAsiaTheme="minorEastAsia"/>
          <w:color w:val="auto"/>
          <w:kern w:val="2"/>
          <w:sz w:val="28"/>
          <w:szCs w:val="28"/>
          <w:lang w:val="en-US" w:eastAsia="zh-CN" w:bidi="ar-SA"/>
        </w:rPr>
      </w:pPr>
      <w:r>
        <w:rPr>
          <w:rFonts w:ascii="Times New Roman" w:hAnsi="Times New Roman" w:eastAsia="宋体" w:cs="Times New Roman"/>
          <w:color w:val="auto"/>
          <w:sz w:val="28"/>
          <w:szCs w:val="28"/>
          <w:lang w:eastAsia="zh-CN"/>
        </w:rPr>
        <w:t>提高全省水土保持监测及成果分析评价水平，加强监测培训力度。各级水行政主管部门每年至少开展一次水土保持监测技术培训，</w:t>
      </w:r>
      <w:r>
        <w:rPr>
          <w:rFonts w:ascii="Times New Roman" w:hAnsi="Times New Roman" w:eastAsia="宋体" w:cs="Times New Roman"/>
          <w:color w:val="auto"/>
          <w:sz w:val="28"/>
          <w:szCs w:val="28"/>
          <w:lang w:val="en-US" w:eastAsia="zh-CN"/>
        </w:rPr>
        <w:t>从事水土保持监测工作的相关人员，</w:t>
      </w:r>
      <w:r>
        <w:rPr>
          <w:rFonts w:ascii="Times New Roman" w:hAnsi="Times New Roman" w:eastAsia="宋体" w:cs="Times New Roman"/>
          <w:color w:val="auto"/>
          <w:sz w:val="28"/>
          <w:szCs w:val="28"/>
          <w:lang w:eastAsia="zh-CN"/>
        </w:rPr>
        <w:t>每年至少参加</w:t>
      </w:r>
      <w:r>
        <w:rPr>
          <w:rFonts w:ascii="Times New Roman" w:hAnsi="Times New Roman" w:eastAsia="宋体" w:cs="Times New Roman"/>
          <w:color w:val="auto"/>
          <w:sz w:val="28"/>
          <w:szCs w:val="28"/>
          <w:lang w:val="en-US" w:eastAsia="zh-CN"/>
        </w:rPr>
        <w:t>1</w:t>
      </w:r>
      <w:r>
        <w:rPr>
          <w:rFonts w:ascii="Times New Roman" w:hAnsi="Times New Roman" w:eastAsia="宋体" w:cs="Times New Roman"/>
          <w:color w:val="auto"/>
          <w:sz w:val="28"/>
          <w:szCs w:val="28"/>
          <w:lang w:eastAsia="zh-CN"/>
        </w:rPr>
        <w:t>次水行政主管部门或者水土保持学会举办的水土保持监测相关技术培训。</w:t>
      </w:r>
    </w:p>
    <w:p w14:paraId="50F5072B">
      <w:pPr>
        <w:pStyle w:val="2"/>
        <w:rPr>
          <w:rFonts w:hint="default"/>
          <w:color w:val="auto"/>
          <w:lang w:eastAsia="zh-CN"/>
        </w:rPr>
      </w:pPr>
    </w:p>
    <w:p w14:paraId="36CEF113">
      <w:pPr>
        <w:pStyle w:val="2"/>
        <w:rPr>
          <w:rFonts w:hint="default"/>
          <w:color w:val="auto"/>
          <w:lang w:val="en-US" w:eastAsia="zh-CN"/>
        </w:rPr>
        <w:sectPr>
          <w:headerReference r:id="rId18" w:type="default"/>
          <w:footerReference r:id="rId1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0B4CF4A">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233" w:name="_Toc30205"/>
      <w:bookmarkStart w:id="234" w:name="_Toc26653"/>
      <w:r>
        <w:rPr>
          <w:rFonts w:hint="eastAsia" w:ascii="方正小标宋_GBK" w:hAnsi="Times New Roman" w:eastAsia="方正小标宋_GBK" w:cs="Times New Roman"/>
          <w:b/>
          <w:bCs w:val="0"/>
          <w:color w:val="auto"/>
          <w:kern w:val="44"/>
          <w:sz w:val="36"/>
          <w:szCs w:val="36"/>
          <w:lang w:val="en-US" w:eastAsia="zh-CN" w:bidi="ar-SA"/>
        </w:rPr>
        <w:t>第八章</w:t>
      </w:r>
      <w:r>
        <w:rPr>
          <w:rFonts w:hint="default" w:ascii="方正小标宋_GBK" w:hAnsi="Times New Roman" w:eastAsia="方正小标宋_GBK" w:cs="Times New Roman"/>
          <w:b/>
          <w:bCs w:val="0"/>
          <w:color w:val="auto"/>
          <w:kern w:val="44"/>
          <w:sz w:val="36"/>
          <w:szCs w:val="36"/>
          <w:lang w:val="en-US" w:eastAsia="zh-CN" w:bidi="ar-SA"/>
        </w:rPr>
        <w:t xml:space="preserve"> 信息化建设</w:t>
      </w:r>
      <w:bookmarkEnd w:id="203"/>
      <w:bookmarkEnd w:id="233"/>
      <w:bookmarkEnd w:id="234"/>
    </w:p>
    <w:p w14:paraId="5400C653">
      <w:pPr>
        <w:ind w:firstLine="549"/>
        <w:rPr>
          <w:rFonts w:hint="default" w:ascii="Times New Roman" w:hAnsi="Times New Roman" w:cs="Times New Roman"/>
          <w:snapToGrid w:val="0"/>
          <w:color w:val="auto"/>
          <w:sz w:val="28"/>
          <w:szCs w:val="28"/>
        </w:rPr>
      </w:pPr>
      <w:r>
        <w:rPr>
          <w:rFonts w:hint="default" w:ascii="Times New Roman" w:hAnsi="Times New Roman" w:cs="Times New Roman"/>
          <w:color w:val="auto"/>
          <w:sz w:val="28"/>
          <w:szCs w:val="28"/>
        </w:rPr>
        <w:t>以水土保持</w:t>
      </w:r>
      <w:r>
        <w:rPr>
          <w:rFonts w:hint="default" w:ascii="Times New Roman" w:hAnsi="Times New Roman" w:cs="Times New Roman"/>
          <w:color w:val="auto"/>
          <w:sz w:val="28"/>
          <w:szCs w:val="28"/>
          <w:lang w:eastAsia="zh-CN"/>
        </w:rPr>
        <w:t>信息</w:t>
      </w:r>
      <w:r>
        <w:rPr>
          <w:rFonts w:hint="default" w:ascii="Times New Roman" w:hAnsi="Times New Roman" w:cs="Times New Roman"/>
          <w:color w:val="auto"/>
          <w:sz w:val="28"/>
          <w:szCs w:val="28"/>
        </w:rPr>
        <w:t>化</w:t>
      </w:r>
      <w:r>
        <w:rPr>
          <w:rFonts w:hint="default" w:ascii="Times New Roman" w:hAnsi="Times New Roman" w:cs="Times New Roman"/>
          <w:color w:val="auto"/>
          <w:sz w:val="28"/>
          <w:szCs w:val="28"/>
          <w:lang w:eastAsia="zh-CN"/>
        </w:rPr>
        <w:t>建设</w:t>
      </w:r>
      <w:r>
        <w:rPr>
          <w:rFonts w:hint="default" w:ascii="Times New Roman" w:hAnsi="Times New Roman" w:cs="Times New Roman"/>
          <w:color w:val="auto"/>
          <w:sz w:val="28"/>
          <w:szCs w:val="28"/>
        </w:rPr>
        <w:t>作为深化水土保持改革的总牵引、总抓手，统筹推进水土保持</w:t>
      </w:r>
      <w:r>
        <w:rPr>
          <w:rFonts w:hint="default" w:ascii="Times New Roman" w:hAnsi="Times New Roman" w:cs="Times New Roman"/>
          <w:color w:val="auto"/>
          <w:sz w:val="28"/>
          <w:szCs w:val="28"/>
          <w:lang w:eastAsia="zh-CN"/>
        </w:rPr>
        <w:t>信息</w:t>
      </w:r>
      <w:r>
        <w:rPr>
          <w:rFonts w:hint="default" w:ascii="Times New Roman" w:hAnsi="Times New Roman" w:cs="Times New Roman"/>
          <w:color w:val="auto"/>
          <w:sz w:val="28"/>
          <w:szCs w:val="28"/>
        </w:rPr>
        <w:t>技术应用和制度创新，构建成熟完备的水土保持</w:t>
      </w:r>
      <w:r>
        <w:rPr>
          <w:rFonts w:hint="default" w:ascii="Times New Roman" w:hAnsi="Times New Roman" w:cs="Times New Roman"/>
          <w:color w:val="auto"/>
          <w:sz w:val="28"/>
          <w:szCs w:val="28"/>
          <w:lang w:eastAsia="zh-CN"/>
        </w:rPr>
        <w:t>信息</w:t>
      </w:r>
      <w:r>
        <w:rPr>
          <w:rFonts w:hint="default" w:ascii="Times New Roman" w:hAnsi="Times New Roman" w:cs="Times New Roman"/>
          <w:color w:val="auto"/>
          <w:sz w:val="28"/>
          <w:szCs w:val="28"/>
        </w:rPr>
        <w:t>化应用体系。</w:t>
      </w:r>
      <w:r>
        <w:rPr>
          <w:rFonts w:hint="default" w:ascii="Times New Roman" w:hAnsi="Times New Roman" w:cs="Times New Roman"/>
          <w:snapToGrid w:val="0"/>
          <w:color w:val="auto"/>
          <w:sz w:val="28"/>
          <w:szCs w:val="28"/>
        </w:rPr>
        <w:t>利用现代信息技术和人工智能技术等，在计算机网络和通信网络的支持下，实现水土保持信息共享、</w:t>
      </w:r>
      <w:r>
        <w:rPr>
          <w:rFonts w:hint="default" w:ascii="Times New Roman" w:hAnsi="Times New Roman" w:cs="Times New Roman"/>
          <w:color w:val="auto"/>
          <w:sz w:val="28"/>
          <w:szCs w:val="28"/>
        </w:rPr>
        <w:t>决策支持</w:t>
      </w:r>
      <w:r>
        <w:rPr>
          <w:rFonts w:hint="default" w:ascii="Times New Roman" w:hAnsi="Times New Roman" w:cs="Times New Roman"/>
          <w:snapToGrid w:val="0"/>
          <w:color w:val="auto"/>
          <w:sz w:val="28"/>
          <w:szCs w:val="28"/>
        </w:rPr>
        <w:t>等功能。</w:t>
      </w:r>
    </w:p>
    <w:p w14:paraId="204BDF58">
      <w:pPr>
        <w:ind w:firstLine="549"/>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（1）</w:t>
      </w:r>
      <w:r>
        <w:rPr>
          <w:rFonts w:hint="default" w:ascii="Times New Roman" w:hAnsi="Times New Roman" w:cs="Times New Roman" w:eastAsiaTheme="minorEastAsia"/>
          <w:b w:val="0"/>
          <w:snapToGrid/>
          <w:color w:val="auto"/>
          <w:kern w:val="2"/>
          <w:sz w:val="28"/>
          <w:szCs w:val="28"/>
          <w:lang w:val="en-US" w:eastAsia="zh-CN" w:bidi="ar-SA"/>
        </w:rPr>
        <w:t>优化完善水土保持大数据平台</w:t>
      </w:r>
    </w:p>
    <w:p w14:paraId="28FF5AAA">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完善数据资源及数据库建设，全面加强数据库采集、录入及审核等工作，整合国土、林业、发改等部门的相关数据，形成“水土保持一张图”。至2022年底，实现大数据系统与各级政务服务“一网通办”平台互联互通，增加建设单位办理水土保持相关工作的渠道。力争成为水利部第一个智慧水利先行先试省，加快智慧水保建设步伐。</w:t>
      </w:r>
    </w:p>
    <w:p w14:paraId="62E8AA9C">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（2）</w:t>
      </w:r>
      <w:r>
        <w:rPr>
          <w:rFonts w:hint="default" w:ascii="Times New Roman" w:hAnsi="Times New Roman" w:cs="Times New Roman" w:eastAsiaTheme="minorEastAsia"/>
          <w:b w:val="0"/>
          <w:snapToGrid/>
          <w:color w:val="auto"/>
          <w:kern w:val="2"/>
          <w:sz w:val="28"/>
          <w:szCs w:val="28"/>
          <w:lang w:val="en-US" w:eastAsia="zh-CN" w:bidi="ar-SA"/>
        </w:rPr>
        <w:t>建立废弃土石渣综合利用信息平台</w:t>
      </w:r>
    </w:p>
    <w:p w14:paraId="32A47E25">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在大数据平台系统中</w:t>
      </w:r>
      <w:r>
        <w:rPr>
          <w:rFonts w:hint="default" w:ascii="Times New Roman" w:hAnsi="Times New Roman" w:cs="Times New Roman"/>
          <w:b w:val="0"/>
          <w:snapToGrid/>
          <w:color w:val="auto"/>
          <w:kern w:val="2"/>
          <w:sz w:val="28"/>
          <w:szCs w:val="28"/>
          <w:lang w:val="en-US" w:eastAsia="zh-CN" w:bidi="ar-SA"/>
        </w:rPr>
        <w:t>，</w:t>
      </w:r>
      <w:r>
        <w:rPr>
          <w:rFonts w:hint="default" w:ascii="Times New Roman" w:hAnsi="Times New Roman" w:cs="Times New Roman" w:eastAsiaTheme="minorEastAsia"/>
          <w:b w:val="0"/>
          <w:snapToGrid/>
          <w:color w:val="auto"/>
          <w:kern w:val="2"/>
          <w:sz w:val="28"/>
          <w:szCs w:val="28"/>
          <w:lang w:val="en-US" w:eastAsia="zh-CN" w:bidi="ar-SA"/>
        </w:rPr>
        <w:t>增加废弃土石渣综合利用信息平台，加强对生产建设活动废弃土石渣收集、清运、集中堆放的管理，鼓励开展综合利用</w:t>
      </w:r>
      <w:r>
        <w:rPr>
          <w:rFonts w:hint="default" w:ascii="Times New Roman" w:hAnsi="Times New Roman" w:cs="Times New Roman"/>
          <w:b w:val="0"/>
          <w:snapToGrid/>
          <w:color w:val="auto"/>
          <w:kern w:val="2"/>
          <w:sz w:val="28"/>
          <w:szCs w:val="28"/>
          <w:lang w:val="en-US" w:eastAsia="zh-CN" w:bidi="ar-SA"/>
        </w:rPr>
        <w:t>，</w:t>
      </w:r>
      <w:r>
        <w:rPr>
          <w:rFonts w:hint="default" w:ascii="Times New Roman" w:hAnsi="Times New Roman" w:cs="Times New Roman" w:eastAsiaTheme="minorEastAsia"/>
          <w:b w:val="0"/>
          <w:snapToGrid/>
          <w:color w:val="auto"/>
          <w:kern w:val="2"/>
          <w:sz w:val="28"/>
          <w:szCs w:val="28"/>
          <w:lang w:val="en-US" w:eastAsia="zh-CN" w:bidi="ar-SA"/>
        </w:rPr>
        <w:t>减少废弃土石渣堆存占地及水土流失危害事件发生。“十四五”期间力争综合利用废弃土石渣500万m</w:t>
      </w:r>
      <w:r>
        <w:rPr>
          <w:rFonts w:hint="default" w:ascii="Times New Roman" w:hAnsi="Times New Roman" w:cs="Times New Roman" w:eastAsiaTheme="minorEastAsia"/>
          <w:b w:val="0"/>
          <w:snapToGrid/>
          <w:color w:val="auto"/>
          <w:kern w:val="2"/>
          <w:sz w:val="28"/>
          <w:szCs w:val="28"/>
          <w:vertAlign w:val="superscript"/>
          <w:lang w:val="en-US" w:eastAsia="zh-CN" w:bidi="ar-SA"/>
        </w:rPr>
        <w:t>3</w:t>
      </w:r>
      <w:r>
        <w:rPr>
          <w:rFonts w:hint="default" w:ascii="Times New Roman" w:hAnsi="Times New Roman" w:cs="Times New Roman" w:eastAsiaTheme="minorEastAsia"/>
          <w:b w:val="0"/>
          <w:snapToGrid/>
          <w:color w:val="auto"/>
          <w:kern w:val="2"/>
          <w:sz w:val="28"/>
          <w:szCs w:val="28"/>
          <w:lang w:val="en-US" w:eastAsia="zh-CN" w:bidi="ar-SA"/>
        </w:rPr>
        <w:t>以上。</w:t>
      </w:r>
    </w:p>
    <w:p w14:paraId="27055110">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（3）</w:t>
      </w:r>
      <w:r>
        <w:rPr>
          <w:rFonts w:hint="default" w:ascii="Times New Roman" w:hAnsi="Times New Roman" w:cs="Times New Roman" w:eastAsiaTheme="minorEastAsia"/>
          <w:b w:val="0"/>
          <w:snapToGrid/>
          <w:color w:val="auto"/>
          <w:kern w:val="2"/>
          <w:sz w:val="28"/>
          <w:szCs w:val="28"/>
          <w:lang w:val="en-US" w:eastAsia="zh-CN" w:bidi="ar-SA"/>
        </w:rPr>
        <w:t>提升监测评价</w:t>
      </w:r>
      <w:r>
        <w:rPr>
          <w:rFonts w:hint="default" w:ascii="Times New Roman" w:hAnsi="Times New Roman" w:cs="Times New Roman"/>
          <w:b w:val="0"/>
          <w:snapToGrid/>
          <w:color w:val="auto"/>
          <w:kern w:val="2"/>
          <w:sz w:val="28"/>
          <w:szCs w:val="28"/>
          <w:lang w:val="en-US" w:eastAsia="zh-CN" w:bidi="ar-SA"/>
        </w:rPr>
        <w:t>、监管及决策评价</w:t>
      </w:r>
      <w:r>
        <w:rPr>
          <w:rFonts w:hint="default" w:ascii="Times New Roman" w:hAnsi="Times New Roman" w:cs="Times New Roman" w:eastAsiaTheme="minorEastAsia"/>
          <w:b w:val="0"/>
          <w:snapToGrid/>
          <w:color w:val="auto"/>
          <w:kern w:val="2"/>
          <w:sz w:val="28"/>
          <w:szCs w:val="28"/>
          <w:lang w:val="en-US" w:eastAsia="zh-CN" w:bidi="ar-SA"/>
        </w:rPr>
        <w:t>功能</w:t>
      </w:r>
    </w:p>
    <w:p w14:paraId="7FB80E6B">
      <w:pPr>
        <w:pStyle w:val="18"/>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在大数据平台系统中，构建水土流失动态监测评价数字化场景，建立水土流失动态监测评价模块。构建生产建设活动人为水土流失监督管理数字化场景，建立生产建设活动人为水土流失监管模块</w:t>
      </w:r>
      <w:r>
        <w:rPr>
          <w:rFonts w:hint="default" w:ascii="Times New Roman" w:hAnsi="Times New Roman" w:cs="Times New Roman"/>
          <w:b w:val="0"/>
          <w:snapToGrid/>
          <w:color w:val="auto"/>
          <w:kern w:val="2"/>
          <w:sz w:val="28"/>
          <w:szCs w:val="28"/>
          <w:lang w:val="en-US" w:eastAsia="zh-CN" w:bidi="ar-SA"/>
        </w:rPr>
        <w:t>。</w:t>
      </w:r>
      <w:r>
        <w:rPr>
          <w:rFonts w:hint="default" w:ascii="Times New Roman" w:hAnsi="Times New Roman" w:cs="Times New Roman" w:eastAsiaTheme="minorEastAsia"/>
          <w:b w:val="0"/>
          <w:snapToGrid/>
          <w:color w:val="auto"/>
          <w:kern w:val="2"/>
          <w:sz w:val="28"/>
          <w:szCs w:val="28"/>
          <w:lang w:val="en-US" w:eastAsia="zh-CN" w:bidi="ar-SA"/>
        </w:rPr>
        <w:t>构建水土流失综合治理评价模型，建立水土流失综合治理监管模块。</w:t>
      </w:r>
    </w:p>
    <w:p w14:paraId="53A6B8AC">
      <w:pPr>
        <w:pStyle w:val="18"/>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（4）</w:t>
      </w:r>
      <w:r>
        <w:rPr>
          <w:rFonts w:hint="default" w:ascii="Times New Roman" w:hAnsi="Times New Roman" w:cs="Times New Roman" w:eastAsiaTheme="minorEastAsia"/>
          <w:b w:val="0"/>
          <w:snapToGrid/>
          <w:color w:val="auto"/>
          <w:kern w:val="2"/>
          <w:sz w:val="28"/>
          <w:szCs w:val="28"/>
          <w:lang w:val="en-US" w:eastAsia="zh-CN" w:bidi="ar-SA"/>
        </w:rPr>
        <w:t>加强人才队伍建设</w:t>
      </w:r>
    </w:p>
    <w:p w14:paraId="000D2694">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采取与高等院校等单位联合的方式，在前沿技术研究、智慧水利、智慧水土保持领域开展专业技术人员继续教育活动。将信息化技术培训纳入年度培训计划，针对信息化工作技术主管、技术骨干，组织水利高级研修培训，提高各级干部在推进水利信息化建设中的管理、领导水平。加大基层单位技术骨干的综合培训力度，提升其运用新技术手段解决实际问题的能力。“十四五”期间全省力争每年组织或参加信息化培训200人次以上。</w:t>
      </w:r>
    </w:p>
    <w:p w14:paraId="0CF5F7D4">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（5）</w:t>
      </w:r>
      <w:r>
        <w:rPr>
          <w:rFonts w:hint="default" w:ascii="Times New Roman" w:hAnsi="Times New Roman" w:cs="Times New Roman" w:eastAsiaTheme="minorEastAsia"/>
          <w:b w:val="0"/>
          <w:snapToGrid/>
          <w:color w:val="auto"/>
          <w:kern w:val="2"/>
          <w:sz w:val="28"/>
          <w:szCs w:val="28"/>
          <w:lang w:val="en-US" w:eastAsia="zh-CN" w:bidi="ar-SA"/>
        </w:rPr>
        <w:t>建立健全水土保持信息化监管工作制度</w:t>
      </w:r>
    </w:p>
    <w:p w14:paraId="72581E75">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出台《贵州省水土保持信息化监督管理办法》。建立水土保持数据质量管理考核办法，制定水土保持数据采集与更新质量控制制度，建立水土保持数据日常更新维护、软硬件设备运行维护、网络和数据安全管理、数据保密管理等数据运维制度。</w:t>
      </w:r>
    </w:p>
    <w:p w14:paraId="046CEAAB">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（6）</w:t>
      </w:r>
      <w:r>
        <w:rPr>
          <w:rFonts w:hint="default" w:ascii="Times New Roman" w:hAnsi="Times New Roman" w:cs="Times New Roman" w:eastAsiaTheme="minorEastAsia"/>
          <w:b w:val="0"/>
          <w:snapToGrid/>
          <w:color w:val="auto"/>
          <w:kern w:val="2"/>
          <w:sz w:val="28"/>
          <w:szCs w:val="28"/>
          <w:lang w:val="en-US" w:eastAsia="zh-CN" w:bidi="ar-SA"/>
        </w:rPr>
        <w:t>建立信息化共享机制</w:t>
      </w:r>
    </w:p>
    <w:p w14:paraId="302BDE5D">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基于水利数据服务平台，建立水土保持上下级部门之间</w:t>
      </w:r>
      <w:r>
        <w:rPr>
          <w:rFonts w:hint="default" w:ascii="Times New Roman" w:hAnsi="Times New Roman" w:cs="Times New Roman"/>
          <w:b w:val="0"/>
          <w:snapToGrid/>
          <w:color w:val="auto"/>
          <w:kern w:val="2"/>
          <w:sz w:val="28"/>
          <w:szCs w:val="28"/>
          <w:lang w:val="en-US" w:eastAsia="zh-CN" w:bidi="ar-SA"/>
        </w:rPr>
        <w:t>，</w:t>
      </w:r>
      <w:r>
        <w:rPr>
          <w:rFonts w:hint="default" w:ascii="Times New Roman" w:hAnsi="Times New Roman" w:cs="Times New Roman" w:eastAsiaTheme="minorEastAsia"/>
          <w:b w:val="0"/>
          <w:snapToGrid/>
          <w:color w:val="auto"/>
          <w:kern w:val="2"/>
          <w:sz w:val="28"/>
          <w:szCs w:val="28"/>
          <w:lang w:val="en-US" w:eastAsia="zh-CN" w:bidi="ar-SA"/>
        </w:rPr>
        <w:t>水土保持部门与水文、水资源、水生态、水环境等相关行业之间</w:t>
      </w:r>
      <w:r>
        <w:rPr>
          <w:rFonts w:hint="default" w:ascii="Times New Roman" w:hAnsi="Times New Roman" w:cs="Times New Roman"/>
          <w:b w:val="0"/>
          <w:snapToGrid/>
          <w:color w:val="auto"/>
          <w:kern w:val="2"/>
          <w:sz w:val="28"/>
          <w:szCs w:val="28"/>
          <w:lang w:val="en-US" w:eastAsia="zh-CN" w:bidi="ar-SA"/>
        </w:rPr>
        <w:t>，</w:t>
      </w:r>
      <w:r>
        <w:rPr>
          <w:rFonts w:hint="default" w:ascii="Times New Roman" w:hAnsi="Times New Roman" w:cs="Times New Roman" w:eastAsiaTheme="minorEastAsia"/>
          <w:b w:val="0"/>
          <w:snapToGrid/>
          <w:color w:val="auto"/>
          <w:kern w:val="2"/>
          <w:sz w:val="28"/>
          <w:szCs w:val="28"/>
          <w:lang w:val="en-US" w:eastAsia="zh-CN" w:bidi="ar-SA"/>
        </w:rPr>
        <w:t>水利厅与自然资源厅、生态环境厅、农业农村厅等相关厅局之间跨网络、跨行业的数据共享机制。</w:t>
      </w:r>
    </w:p>
    <w:p w14:paraId="7F7EBDE5">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（7）</w:t>
      </w:r>
      <w:r>
        <w:rPr>
          <w:rFonts w:hint="default" w:ascii="Times New Roman" w:hAnsi="Times New Roman" w:cs="Times New Roman" w:eastAsiaTheme="minorEastAsia"/>
          <w:b w:val="0"/>
          <w:snapToGrid/>
          <w:color w:val="auto"/>
          <w:kern w:val="2"/>
          <w:sz w:val="28"/>
          <w:szCs w:val="28"/>
          <w:lang w:val="en-US" w:eastAsia="zh-CN" w:bidi="ar-SA"/>
        </w:rPr>
        <w:t>加强生产建设项目信息化管理</w:t>
      </w:r>
    </w:p>
    <w:p w14:paraId="5814C590">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力争98%以上生产建设项目相关资料录入大数据系统，全面实现信息化监管</w:t>
      </w:r>
      <w:r>
        <w:rPr>
          <w:rFonts w:hint="default" w:ascii="Times New Roman" w:hAnsi="Times New Roman" w:cs="Times New Roman"/>
          <w:b w:val="0"/>
          <w:snapToGrid/>
          <w:color w:val="auto"/>
          <w:kern w:val="2"/>
          <w:sz w:val="28"/>
          <w:szCs w:val="28"/>
          <w:lang w:val="en-US" w:eastAsia="zh-CN" w:bidi="ar-SA"/>
        </w:rPr>
        <w:t>，</w:t>
      </w:r>
      <w:r>
        <w:rPr>
          <w:rFonts w:hint="default" w:ascii="Times New Roman" w:hAnsi="Times New Roman" w:cs="Times New Roman" w:eastAsiaTheme="minorEastAsia"/>
          <w:b w:val="0"/>
          <w:snapToGrid/>
          <w:color w:val="auto"/>
          <w:kern w:val="2"/>
          <w:sz w:val="28"/>
          <w:szCs w:val="28"/>
          <w:lang w:val="en-US" w:eastAsia="zh-CN" w:bidi="ar-SA"/>
        </w:rPr>
        <w:t>制定监管计划，充分利用卫星遥感、无人机、互联网+等信息技术手段开展违法违规图斑</w:t>
      </w:r>
      <w:r>
        <w:rPr>
          <w:rFonts w:hint="default" w:ascii="Times New Roman" w:hAnsi="Times New Roman" w:cs="Times New Roman"/>
          <w:b w:val="0"/>
          <w:snapToGrid/>
          <w:color w:val="auto"/>
          <w:kern w:val="2"/>
          <w:sz w:val="28"/>
          <w:szCs w:val="28"/>
          <w:lang w:val="en-US" w:eastAsia="zh-CN" w:bidi="ar-SA"/>
        </w:rPr>
        <w:t>核查</w:t>
      </w:r>
      <w:r>
        <w:rPr>
          <w:rFonts w:hint="default" w:ascii="Times New Roman" w:hAnsi="Times New Roman" w:cs="Times New Roman" w:eastAsiaTheme="minorEastAsia"/>
          <w:b w:val="0"/>
          <w:snapToGrid/>
          <w:color w:val="auto"/>
          <w:kern w:val="2"/>
          <w:sz w:val="28"/>
          <w:szCs w:val="28"/>
          <w:lang w:val="en-US" w:eastAsia="zh-CN" w:bidi="ar-SA"/>
        </w:rPr>
        <w:t>，做好生产建设项目“未批先建”“未验先投”“未批先弃”及施工过程中各类违法违规行为的“认定、查处、整改、处罚”工作，并将存在的问题数据及时上传大数据系统。采用信用管理及责任追究等手段，对95%以上生产建设项目常态化、全过程监管，促进水土流失问题得到及时整改，有效防治人为水土流失。</w:t>
      </w:r>
    </w:p>
    <w:p w14:paraId="7AEAD597">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（8）</w:t>
      </w:r>
      <w:r>
        <w:rPr>
          <w:rFonts w:hint="default" w:ascii="Times New Roman" w:hAnsi="Times New Roman" w:cs="Times New Roman" w:eastAsiaTheme="minorEastAsia"/>
          <w:b w:val="0"/>
          <w:snapToGrid/>
          <w:color w:val="auto"/>
          <w:kern w:val="2"/>
          <w:sz w:val="28"/>
          <w:szCs w:val="28"/>
          <w:lang w:val="en-US" w:eastAsia="zh-CN" w:bidi="ar-SA"/>
        </w:rPr>
        <w:t>强化国家水土保持重点治理工程信息化管理</w:t>
      </w:r>
    </w:p>
    <w:p w14:paraId="2CF057D9">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切实做到国家水土保持重点治理工程95%以上工程开展监督检查、竣工验收及监管</w:t>
      </w:r>
      <w:r>
        <w:rPr>
          <w:rFonts w:hint="default" w:ascii="Times New Roman" w:hAnsi="Times New Roman" w:cs="Times New Roman"/>
          <w:b w:val="0"/>
          <w:snapToGrid/>
          <w:color w:val="auto"/>
          <w:kern w:val="2"/>
          <w:sz w:val="28"/>
          <w:szCs w:val="28"/>
          <w:lang w:val="en-US" w:eastAsia="zh-CN" w:bidi="ar-SA"/>
        </w:rPr>
        <w:t>实现</w:t>
      </w:r>
      <w:r>
        <w:rPr>
          <w:rFonts w:hint="default" w:ascii="Times New Roman" w:hAnsi="Times New Roman" w:cs="Times New Roman" w:eastAsiaTheme="minorEastAsia"/>
          <w:b w:val="0"/>
          <w:snapToGrid/>
          <w:color w:val="auto"/>
          <w:kern w:val="2"/>
          <w:sz w:val="28"/>
          <w:szCs w:val="28"/>
          <w:lang w:val="en-US" w:eastAsia="zh-CN" w:bidi="ar-SA"/>
        </w:rPr>
        <w:t>数据化、动态化、标准化及智慧化管理。要推荐涉及水土流失治理的相关部门、单位及个人使用大数据系统，全面掌握辖区内新增水土流失治理面积，</w:t>
      </w:r>
    </w:p>
    <w:p w14:paraId="127330BE">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（9）</w:t>
      </w:r>
      <w:r>
        <w:rPr>
          <w:rFonts w:hint="default" w:ascii="Times New Roman" w:hAnsi="Times New Roman" w:cs="Times New Roman" w:eastAsiaTheme="minorEastAsia"/>
          <w:b w:val="0"/>
          <w:snapToGrid/>
          <w:color w:val="auto"/>
          <w:kern w:val="2"/>
          <w:sz w:val="28"/>
          <w:szCs w:val="28"/>
          <w:lang w:val="en-US" w:eastAsia="zh-CN" w:bidi="ar-SA"/>
        </w:rPr>
        <w:t>提升水土保持目标责任考核等信息化管理</w:t>
      </w:r>
    </w:p>
    <w:p w14:paraId="18F59A7C">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持续提升大数据系统中水土保持规划实施情况评估与政府目标责任考核指标填报与审核的自动化与智能化程度，实施精准量化考核。</w:t>
      </w:r>
    </w:p>
    <w:p w14:paraId="7E0650F3">
      <w:pPr>
        <w:keepNext w:val="0"/>
        <w:keepLines w:val="0"/>
        <w:widowControl/>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b w:val="0"/>
          <w:snapToGrid/>
          <w:color w:val="auto"/>
          <w:kern w:val="2"/>
          <w:sz w:val="28"/>
          <w:szCs w:val="28"/>
          <w:lang w:val="en-US" w:eastAsia="zh-CN" w:bidi="ar-SA"/>
        </w:rPr>
        <w:t>（10）</w:t>
      </w:r>
      <w:r>
        <w:rPr>
          <w:rFonts w:hint="default" w:ascii="Times New Roman" w:hAnsi="Times New Roman" w:cs="Times New Roman" w:eastAsiaTheme="minorEastAsia"/>
          <w:b w:val="0"/>
          <w:snapToGrid/>
          <w:color w:val="auto"/>
          <w:kern w:val="2"/>
          <w:sz w:val="28"/>
          <w:szCs w:val="28"/>
          <w:lang w:val="en-US" w:eastAsia="zh-CN" w:bidi="ar-SA"/>
        </w:rPr>
        <w:t>建设面向社会公众的信息服务体系</w:t>
      </w:r>
    </w:p>
    <w:p w14:paraId="4D79E568">
      <w:pPr>
        <w:keepNext w:val="0"/>
        <w:keepLines w:val="0"/>
        <w:widowControl/>
        <w:numPr>
          <w:ilvl w:val="0"/>
          <w:numId w:val="0"/>
        </w:numPr>
        <w:suppressLineNumbers w:val="0"/>
        <w:ind w:firstLine="560" w:firstLineChars="200"/>
        <w:jc w:val="left"/>
        <w:rPr>
          <w:rFonts w:hint="default" w:ascii="Times New Roman" w:hAnsi="Times New Roman" w:cs="Times New Roman" w:eastAsiaTheme="minorEastAsia"/>
          <w:b w:val="0"/>
          <w:snapToGrid/>
          <w:color w:val="auto"/>
          <w:kern w:val="2"/>
          <w:sz w:val="28"/>
          <w:szCs w:val="28"/>
          <w:lang w:val="en-US" w:eastAsia="zh-CN" w:bidi="ar-SA"/>
        </w:rPr>
      </w:pPr>
      <w:r>
        <w:rPr>
          <w:rFonts w:hint="default" w:ascii="Times New Roman" w:hAnsi="Times New Roman" w:cs="Times New Roman" w:eastAsiaTheme="minorEastAsia"/>
          <w:b w:val="0"/>
          <w:snapToGrid/>
          <w:color w:val="auto"/>
          <w:kern w:val="2"/>
          <w:sz w:val="28"/>
          <w:szCs w:val="28"/>
          <w:lang w:val="en-US" w:eastAsia="zh-CN" w:bidi="ar-SA"/>
        </w:rPr>
        <w:t>聚焦企业、群众等关心、关注的问题，实现水土保持事项“掌上快办”。通过平台公开信息，使社会公众及时了解我省水土保持有关的政务信息、政策宣传、新闻动态等相关信息，畅通公众监督和举报渠道，探索推进水土保持公益诉讼，加大正面宣传和负面曝光力度，形成监管合力，提高全体公民的水土保持法治意识和生态文明意识。通过平台展示水土保持治理成效，示范推广水土保持措施和效益，积极推动水土保持工作。在新闻媒体、微信公众号等社交平台上每年至少公开2条有关水土保持法制宣传、治治成效等方面的正面宣传信息。同时，每年将负面曝光1—2起典型水土保持违法违规行为。</w:t>
      </w:r>
    </w:p>
    <w:bookmarkEnd w:id="175"/>
    <w:bookmarkEnd w:id="176"/>
    <w:bookmarkEnd w:id="177"/>
    <w:p w14:paraId="60042E2F">
      <w:pPr>
        <w:keepNext w:val="0"/>
        <w:keepLines w:val="0"/>
        <w:widowControl/>
        <w:numPr>
          <w:ilvl w:val="0"/>
          <w:numId w:val="0"/>
        </w:numPr>
        <w:suppressLineNumbers w:val="0"/>
        <w:ind w:firstLine="420" w:firstLineChars="200"/>
        <w:jc w:val="left"/>
        <w:rPr>
          <w:rFonts w:hint="default"/>
          <w:color w:val="auto"/>
          <w:lang w:val="en-US" w:eastAsia="zh-CN"/>
        </w:rPr>
      </w:pPr>
    </w:p>
    <w:p w14:paraId="342B6B8D">
      <w:pPr>
        <w:ind w:firstLine="700" w:firstLineChars="250"/>
        <w:rPr>
          <w:rFonts w:hint="default" w:ascii="Times New Roman" w:hAnsi="Times New Roman" w:eastAsia="仿宋_GB2312"/>
          <w:color w:val="auto"/>
          <w:sz w:val="28"/>
          <w:szCs w:val="28"/>
          <w:lang w:val="en-US" w:eastAsia="zh-CN"/>
        </w:rPr>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2B6773A">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val="0"/>
          <w:bCs/>
          <w:color w:val="auto"/>
          <w:kern w:val="44"/>
          <w:sz w:val="36"/>
          <w:szCs w:val="36"/>
          <w:lang w:val="en-US" w:eastAsia="zh-CN" w:bidi="ar-SA"/>
        </w:rPr>
      </w:pPr>
      <w:bookmarkStart w:id="235" w:name="_Toc19130"/>
      <w:bookmarkStart w:id="236" w:name="_Toc23592"/>
      <w:bookmarkStart w:id="237" w:name="_Toc11511"/>
      <w:bookmarkStart w:id="238" w:name="_Toc29045"/>
      <w:bookmarkStart w:id="239" w:name="_Toc31124"/>
      <w:r>
        <w:rPr>
          <w:rFonts w:hint="eastAsia" w:ascii="方正小标宋_GBK" w:hAnsi="Times New Roman" w:eastAsia="方正小标宋_GBK" w:cs="Times New Roman"/>
          <w:b/>
          <w:bCs w:val="0"/>
          <w:color w:val="auto"/>
          <w:kern w:val="44"/>
          <w:sz w:val="36"/>
          <w:szCs w:val="36"/>
          <w:lang w:val="en-US" w:eastAsia="zh-CN" w:bidi="ar-SA"/>
        </w:rPr>
        <w:t>第九章 科技支撑和能力建设</w:t>
      </w:r>
      <w:bookmarkEnd w:id="235"/>
      <w:bookmarkEnd w:id="236"/>
      <w:bookmarkEnd w:id="237"/>
      <w:bookmarkEnd w:id="238"/>
      <w:bookmarkEnd w:id="239"/>
    </w:p>
    <w:p w14:paraId="53E43A61">
      <w:pPr>
        <w:pStyle w:val="7"/>
        <w:bidi w:val="0"/>
        <w:rPr>
          <w:rFonts w:hint="default" w:ascii="黑体" w:hAnsi="黑体" w:eastAsia="黑体" w:cs="黑体"/>
          <w:color w:val="auto"/>
          <w:sz w:val="32"/>
          <w:szCs w:val="32"/>
          <w:lang w:val="en-US" w:eastAsia="zh-CN"/>
        </w:rPr>
      </w:pPr>
      <w:bookmarkStart w:id="240" w:name="_Toc21611"/>
      <w:bookmarkStart w:id="241" w:name="_Toc13488"/>
      <w:bookmarkStart w:id="242" w:name="_Toc19083"/>
      <w:bookmarkStart w:id="243" w:name="_Toc4279"/>
      <w:bookmarkStart w:id="244" w:name="_Toc21674"/>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科技支撑</w:t>
      </w:r>
      <w:bookmarkEnd w:id="240"/>
      <w:bookmarkEnd w:id="241"/>
      <w:bookmarkEnd w:id="242"/>
      <w:bookmarkEnd w:id="243"/>
      <w:bookmarkEnd w:id="244"/>
    </w:p>
    <w:p w14:paraId="54E40DD1">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45" w:name="_Toc11009"/>
      <w:bookmarkStart w:id="246" w:name="_Toc19114"/>
      <w:r>
        <w:rPr>
          <w:rFonts w:hint="eastAsia" w:ascii="Times New Roman" w:hAnsi="Times New Roman" w:eastAsia="楷体_GB2312" w:cs="Times New Roman"/>
          <w:b/>
          <w:bCs w:val="0"/>
          <w:snapToGrid w:val="0"/>
          <w:color w:val="auto"/>
          <w:kern w:val="2"/>
          <w:sz w:val="30"/>
          <w:szCs w:val="30"/>
          <w:lang w:val="en-US" w:eastAsia="zh-CN" w:bidi="ar-SA"/>
        </w:rPr>
        <w:t>（一）基础研究</w:t>
      </w:r>
    </w:p>
    <w:p w14:paraId="0AFE5778">
      <w:pPr>
        <w:spacing w:line="240" w:lineRule="auto"/>
        <w:ind w:firstLine="549"/>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1</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水土保持率目标分解</w:t>
      </w:r>
      <w:r>
        <w:rPr>
          <w:rFonts w:hint="default" w:ascii="Times New Roman" w:hAnsi="Times New Roman" w:eastAsia="宋体" w:cs="Times New Roman"/>
          <w:snapToGrid w:val="0"/>
          <w:color w:val="auto"/>
          <w:sz w:val="28"/>
          <w:szCs w:val="28"/>
          <w:lang w:val="en-US" w:eastAsia="zh-CN"/>
        </w:rPr>
        <w:t>和复核</w:t>
      </w:r>
    </w:p>
    <w:p w14:paraId="2CCD8656">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根据</w:t>
      </w:r>
      <w:r>
        <w:rPr>
          <w:rFonts w:hint="default" w:ascii="Times New Roman" w:hAnsi="Times New Roman" w:eastAsia="宋体" w:cs="Times New Roman"/>
          <w:snapToGrid w:val="0"/>
          <w:color w:val="auto"/>
          <w:sz w:val="28"/>
          <w:szCs w:val="28"/>
          <w:lang w:eastAsia="zh-CN"/>
        </w:rPr>
        <w:t>已确认的</w:t>
      </w:r>
      <w:r>
        <w:rPr>
          <w:rFonts w:hint="default" w:ascii="Times New Roman" w:hAnsi="Times New Roman" w:eastAsia="宋体" w:cs="Times New Roman"/>
          <w:snapToGrid w:val="0"/>
          <w:color w:val="auto"/>
          <w:sz w:val="28"/>
          <w:szCs w:val="28"/>
        </w:rPr>
        <w:t>水土保持率</w:t>
      </w:r>
      <w:r>
        <w:rPr>
          <w:rFonts w:hint="default" w:ascii="Times New Roman" w:hAnsi="Times New Roman" w:eastAsia="宋体" w:cs="Times New Roman"/>
          <w:snapToGrid w:val="0"/>
          <w:color w:val="auto"/>
          <w:sz w:val="28"/>
          <w:szCs w:val="28"/>
          <w:lang w:eastAsia="zh-CN"/>
        </w:rPr>
        <w:t>目标值</w:t>
      </w:r>
      <w:r>
        <w:rPr>
          <w:rFonts w:hint="default" w:ascii="Times New Roman" w:hAnsi="Times New Roman" w:eastAsia="宋体" w:cs="Times New Roman"/>
          <w:snapToGrid w:val="0"/>
          <w:color w:val="auto"/>
          <w:sz w:val="28"/>
          <w:szCs w:val="28"/>
        </w:rPr>
        <w:t>，结合</w:t>
      </w:r>
      <w:r>
        <w:rPr>
          <w:rFonts w:hint="default" w:ascii="Times New Roman" w:hAnsi="Times New Roman" w:eastAsia="宋体" w:cs="Times New Roman"/>
          <w:snapToGrid w:val="0"/>
          <w:color w:val="auto"/>
          <w:sz w:val="28"/>
          <w:szCs w:val="28"/>
          <w:lang w:eastAsia="zh-CN"/>
        </w:rPr>
        <w:t>我省</w:t>
      </w:r>
      <w:r>
        <w:rPr>
          <w:rFonts w:hint="default" w:ascii="Times New Roman" w:hAnsi="Times New Roman" w:eastAsia="宋体" w:cs="Times New Roman"/>
          <w:snapToGrid w:val="0"/>
          <w:color w:val="auto"/>
          <w:sz w:val="28"/>
          <w:szCs w:val="28"/>
        </w:rPr>
        <w:t>区域自然禀赋条件、经济社会发展和水土流失特点，落实市</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县</w:t>
      </w:r>
      <w:r>
        <w:rPr>
          <w:rFonts w:hint="default" w:ascii="Times New Roman" w:hAnsi="Times New Roman" w:eastAsia="宋体" w:cs="Times New Roman"/>
          <w:snapToGrid w:val="0"/>
          <w:color w:val="auto"/>
          <w:sz w:val="28"/>
          <w:szCs w:val="28"/>
          <w:lang w:eastAsia="zh-CN"/>
        </w:rPr>
        <w:t>（区）</w:t>
      </w:r>
      <w:r>
        <w:rPr>
          <w:rFonts w:hint="default" w:ascii="Times New Roman" w:hAnsi="Times New Roman" w:eastAsia="宋体" w:cs="Times New Roman"/>
          <w:snapToGrid w:val="0"/>
          <w:color w:val="auto"/>
          <w:sz w:val="28"/>
          <w:szCs w:val="28"/>
        </w:rPr>
        <w:t>水土保持率目标值分解，为科学制定水土流失治理任务，有效实施水土保持措施提供依据。</w:t>
      </w:r>
    </w:p>
    <w:p w14:paraId="1FD6AC28">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2</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shd w:val="clear" w:color="auto" w:fill="auto"/>
          <w:lang w:eastAsia="zh-CN"/>
        </w:rPr>
        <w:t>高效的</w:t>
      </w:r>
      <w:r>
        <w:rPr>
          <w:rFonts w:hint="default" w:ascii="Times New Roman" w:hAnsi="Times New Roman" w:eastAsia="宋体" w:cs="Times New Roman"/>
          <w:snapToGrid w:val="0"/>
          <w:color w:val="auto"/>
          <w:sz w:val="28"/>
          <w:szCs w:val="28"/>
        </w:rPr>
        <w:t>水土流失防治措施体系和治理能力研究</w:t>
      </w:r>
    </w:p>
    <w:p w14:paraId="2A00ADBA">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系统分析总结</w:t>
      </w:r>
      <w:r>
        <w:rPr>
          <w:rFonts w:hint="default" w:ascii="Times New Roman" w:hAnsi="Times New Roman" w:eastAsia="宋体" w:cs="Times New Roman"/>
          <w:snapToGrid w:val="0"/>
          <w:color w:val="auto"/>
          <w:sz w:val="28"/>
          <w:szCs w:val="28"/>
          <w:lang w:eastAsia="zh-CN"/>
        </w:rPr>
        <w:t>贵州省</w:t>
      </w:r>
      <w:r>
        <w:rPr>
          <w:rFonts w:hint="default" w:ascii="Times New Roman" w:hAnsi="Times New Roman" w:eastAsia="宋体" w:cs="Times New Roman"/>
          <w:snapToGrid w:val="0"/>
          <w:color w:val="auto"/>
          <w:sz w:val="28"/>
          <w:szCs w:val="28"/>
        </w:rPr>
        <w:t>现有及可发展的水土保持措施类型，</w:t>
      </w:r>
      <w:r>
        <w:rPr>
          <w:rFonts w:hint="default" w:ascii="Times New Roman" w:hAnsi="Times New Roman" w:eastAsia="宋体" w:cs="Times New Roman"/>
          <w:snapToGrid w:val="0"/>
          <w:color w:val="auto"/>
          <w:sz w:val="28"/>
          <w:szCs w:val="28"/>
          <w:lang w:val="en-US" w:eastAsia="zh-CN"/>
        </w:rPr>
        <w:t>开</w:t>
      </w:r>
      <w:r>
        <w:rPr>
          <w:rFonts w:hint="default" w:ascii="Times New Roman" w:hAnsi="Times New Roman" w:eastAsia="宋体" w:cs="Times New Roman"/>
          <w:snapToGrid w:val="0"/>
          <w:color w:val="auto"/>
          <w:sz w:val="28"/>
          <w:szCs w:val="28"/>
        </w:rPr>
        <w:t>展水土保持措施适宜性评价、效益分析等</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阐明各种措施的适用区域</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构建</w:t>
      </w:r>
      <w:r>
        <w:rPr>
          <w:rFonts w:hint="default" w:ascii="Times New Roman" w:hAnsi="Times New Roman" w:eastAsia="宋体" w:cs="Times New Roman"/>
          <w:snapToGrid w:val="0"/>
          <w:color w:val="auto"/>
          <w:sz w:val="28"/>
          <w:szCs w:val="28"/>
          <w:lang w:eastAsia="zh-CN"/>
        </w:rPr>
        <w:t>高效的</w:t>
      </w:r>
      <w:r>
        <w:rPr>
          <w:rFonts w:hint="default" w:ascii="Times New Roman" w:hAnsi="Times New Roman" w:eastAsia="宋体" w:cs="Times New Roman"/>
          <w:snapToGrid w:val="0"/>
          <w:color w:val="auto"/>
          <w:sz w:val="28"/>
          <w:szCs w:val="28"/>
        </w:rPr>
        <w:t>水土保持措施</w:t>
      </w:r>
      <w:r>
        <w:rPr>
          <w:rFonts w:hint="default" w:ascii="Times New Roman" w:hAnsi="Times New Roman" w:eastAsia="宋体" w:cs="Times New Roman"/>
          <w:snapToGrid w:val="0"/>
          <w:color w:val="auto"/>
          <w:sz w:val="28"/>
          <w:szCs w:val="28"/>
          <w:lang w:eastAsia="zh-CN"/>
        </w:rPr>
        <w:t>防治</w:t>
      </w:r>
      <w:r>
        <w:rPr>
          <w:rFonts w:hint="default" w:ascii="Times New Roman" w:hAnsi="Times New Roman" w:eastAsia="宋体" w:cs="Times New Roman"/>
          <w:snapToGrid w:val="0"/>
          <w:color w:val="auto"/>
          <w:sz w:val="28"/>
          <w:szCs w:val="28"/>
        </w:rPr>
        <w:t>体系；</w:t>
      </w:r>
      <w:r>
        <w:rPr>
          <w:rFonts w:hint="default" w:ascii="Times New Roman" w:hAnsi="Times New Roman" w:eastAsia="宋体" w:cs="Times New Roman"/>
          <w:snapToGrid w:val="0"/>
          <w:color w:val="auto"/>
          <w:sz w:val="28"/>
          <w:szCs w:val="28"/>
          <w:lang w:eastAsia="zh-CN"/>
        </w:rPr>
        <w:t>结合贵州省水土保持大数据平台，开展水土流失预测研究</w:t>
      </w:r>
      <w:r>
        <w:rPr>
          <w:rFonts w:hint="default" w:ascii="Times New Roman" w:hAnsi="Times New Roman" w:eastAsia="宋体" w:cs="Times New Roman"/>
          <w:snapToGrid w:val="0"/>
          <w:color w:val="auto"/>
          <w:sz w:val="28"/>
          <w:szCs w:val="28"/>
        </w:rPr>
        <w:t>；</w:t>
      </w:r>
      <w:r>
        <w:rPr>
          <w:rFonts w:hint="default" w:ascii="Times New Roman" w:hAnsi="Times New Roman" w:eastAsia="宋体" w:cs="Times New Roman"/>
          <w:snapToGrid w:val="0"/>
          <w:color w:val="auto"/>
          <w:sz w:val="28"/>
          <w:szCs w:val="28"/>
          <w:lang w:eastAsia="zh-CN"/>
        </w:rPr>
        <w:t>结合全省新能源建设，开展太阳能光伏板下经济与水土保持课题研究</w:t>
      </w:r>
      <w:r>
        <w:rPr>
          <w:rFonts w:hint="default" w:ascii="Times New Roman" w:hAnsi="Times New Roman" w:eastAsia="宋体" w:cs="Times New Roman"/>
          <w:snapToGrid w:val="0"/>
          <w:color w:val="auto"/>
          <w:sz w:val="28"/>
          <w:szCs w:val="28"/>
        </w:rPr>
        <w:t>。</w:t>
      </w:r>
    </w:p>
    <w:p w14:paraId="65F4EDF7">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3</w:t>
      </w:r>
      <w:r>
        <w:rPr>
          <w:rFonts w:hint="default" w:ascii="Times New Roman" w:hAnsi="Times New Roman" w:eastAsia="宋体" w:cs="Times New Roman"/>
          <w:snapToGrid w:val="0"/>
          <w:color w:val="auto"/>
          <w:sz w:val="28"/>
          <w:szCs w:val="28"/>
          <w:lang w:eastAsia="zh-CN"/>
        </w:rPr>
        <w:t>）贵州省</w:t>
      </w:r>
      <w:r>
        <w:rPr>
          <w:rFonts w:hint="default" w:ascii="Times New Roman" w:hAnsi="Times New Roman" w:eastAsia="宋体" w:cs="Times New Roman"/>
          <w:snapToGrid w:val="0"/>
          <w:color w:val="auto"/>
          <w:sz w:val="28"/>
          <w:szCs w:val="28"/>
        </w:rPr>
        <w:t>水土保持</w:t>
      </w:r>
      <w:r>
        <w:rPr>
          <w:rFonts w:hint="default" w:ascii="Times New Roman" w:hAnsi="Times New Roman" w:eastAsia="宋体" w:cs="Times New Roman"/>
          <w:color w:val="auto"/>
          <w:sz w:val="28"/>
          <w:szCs w:val="28"/>
        </w:rPr>
        <w:t>制度研究</w:t>
      </w:r>
    </w:p>
    <w:p w14:paraId="23E0B641">
      <w:pPr>
        <w:spacing w:line="240" w:lineRule="auto"/>
        <w:ind w:firstLine="549"/>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lang w:eastAsia="zh-CN"/>
        </w:rPr>
        <w:t>组织开展我省水土保持补偿机制、水生态文明建设、林下经济与水土保持等方面制度研究，制订发布《贵州省水土保持工程以奖代补实施办法》。组织</w:t>
      </w:r>
      <w:r>
        <w:rPr>
          <w:rFonts w:hint="default" w:ascii="Times New Roman" w:hAnsi="Times New Roman" w:eastAsia="宋体" w:cs="Times New Roman"/>
          <w:snapToGrid w:val="0"/>
          <w:color w:val="auto"/>
          <w:sz w:val="28"/>
          <w:szCs w:val="28"/>
        </w:rPr>
        <w:t>编制</w:t>
      </w:r>
      <w:r>
        <w:rPr>
          <w:rFonts w:hint="default" w:ascii="Times New Roman" w:hAnsi="Times New Roman" w:eastAsia="宋体" w:cs="Times New Roman"/>
          <w:snapToGrid w:val="0"/>
          <w:color w:val="auto"/>
          <w:sz w:val="28"/>
          <w:szCs w:val="28"/>
          <w:lang w:eastAsia="zh-CN"/>
        </w:rPr>
        <w:t>我省</w:t>
      </w:r>
      <w:r>
        <w:rPr>
          <w:rFonts w:hint="default" w:ascii="Times New Roman" w:hAnsi="Times New Roman" w:eastAsia="宋体" w:cs="Times New Roman"/>
          <w:snapToGrid w:val="0"/>
          <w:color w:val="auto"/>
          <w:sz w:val="28"/>
          <w:szCs w:val="28"/>
        </w:rPr>
        <w:t>生产建设项目水土保持</w:t>
      </w:r>
      <w:r>
        <w:rPr>
          <w:rFonts w:hint="default" w:ascii="Times New Roman" w:hAnsi="Times New Roman" w:eastAsia="宋体" w:cs="Times New Roman"/>
          <w:snapToGrid w:val="0"/>
          <w:color w:val="auto"/>
          <w:sz w:val="28"/>
          <w:szCs w:val="28"/>
          <w:lang w:eastAsia="zh-CN"/>
        </w:rPr>
        <w:t>工作</w:t>
      </w:r>
      <w:r>
        <w:rPr>
          <w:rFonts w:hint="default" w:ascii="Times New Roman" w:hAnsi="Times New Roman" w:eastAsia="宋体" w:cs="Times New Roman"/>
          <w:snapToGrid w:val="0"/>
          <w:color w:val="auto"/>
          <w:sz w:val="28"/>
          <w:szCs w:val="28"/>
        </w:rPr>
        <w:t>手册，指导各参建单位有效落实水土保持“三同时”制度。</w:t>
      </w:r>
    </w:p>
    <w:p w14:paraId="6E8946DA">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r>
        <w:rPr>
          <w:rFonts w:hint="eastAsia" w:ascii="Times New Roman" w:hAnsi="Times New Roman" w:eastAsia="楷体_GB2312" w:cs="Times New Roman"/>
          <w:b/>
          <w:bCs w:val="0"/>
          <w:snapToGrid w:val="0"/>
          <w:color w:val="auto"/>
          <w:kern w:val="2"/>
          <w:sz w:val="30"/>
          <w:szCs w:val="30"/>
          <w:lang w:val="en-US" w:eastAsia="zh-CN" w:bidi="ar-SA"/>
        </w:rPr>
        <w:t>（二）</w:t>
      </w:r>
      <w:r>
        <w:rPr>
          <w:rFonts w:hint="default" w:ascii="Times New Roman" w:hAnsi="Times New Roman" w:eastAsia="楷体_GB2312" w:cs="Times New Roman"/>
          <w:b/>
          <w:bCs w:val="0"/>
          <w:snapToGrid w:val="0"/>
          <w:color w:val="auto"/>
          <w:kern w:val="2"/>
          <w:sz w:val="30"/>
          <w:szCs w:val="30"/>
          <w:lang w:val="en-US" w:eastAsia="zh-CN" w:bidi="ar-SA"/>
        </w:rPr>
        <w:t>关键技术研究</w:t>
      </w:r>
      <w:bookmarkEnd w:id="245"/>
      <w:bookmarkEnd w:id="246"/>
    </w:p>
    <w:p w14:paraId="39E59751">
      <w:pPr>
        <w:spacing w:line="240" w:lineRule="auto"/>
        <w:ind w:firstLine="549"/>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1</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生产建设项目水土流失高效防治</w:t>
      </w:r>
      <w:r>
        <w:rPr>
          <w:rFonts w:hint="default" w:ascii="Times New Roman" w:hAnsi="Times New Roman" w:eastAsia="宋体" w:cs="Times New Roman"/>
          <w:snapToGrid w:val="0"/>
          <w:color w:val="auto"/>
          <w:sz w:val="28"/>
          <w:szCs w:val="28"/>
          <w:lang w:val="en-US" w:eastAsia="zh-CN"/>
        </w:rPr>
        <w:t>技术研究</w:t>
      </w:r>
    </w:p>
    <w:p w14:paraId="0807B8E9">
      <w:pPr>
        <w:spacing w:line="240" w:lineRule="auto"/>
        <w:ind w:firstLine="549"/>
        <w:rPr>
          <w:rFonts w:hint="default" w:ascii="Times New Roman" w:hAnsi="Times New Roman" w:eastAsia="宋体" w:cs="Times New Roman"/>
          <w:snapToGrid w:val="0"/>
          <w:color w:val="auto"/>
          <w:sz w:val="28"/>
          <w:szCs w:val="28"/>
          <w:lang w:eastAsia="zh-CN"/>
        </w:rPr>
      </w:pPr>
      <w:r>
        <w:rPr>
          <w:rFonts w:hint="default" w:ascii="Times New Roman" w:hAnsi="Times New Roman" w:eastAsia="宋体" w:cs="Times New Roman"/>
          <w:snapToGrid w:val="0"/>
          <w:color w:val="auto"/>
          <w:sz w:val="28"/>
          <w:szCs w:val="28"/>
        </w:rPr>
        <w:t>开展生产建设项水土保持治理模式与技术标准、生产建设严重扰动区植被快速营造模式与技术研究</w:t>
      </w:r>
      <w:r>
        <w:rPr>
          <w:rFonts w:hint="default" w:ascii="Times New Roman" w:hAnsi="Times New Roman" w:eastAsia="宋体" w:cs="Times New Roman"/>
          <w:snapToGrid w:val="0"/>
          <w:color w:val="auto"/>
          <w:sz w:val="28"/>
          <w:szCs w:val="28"/>
          <w:lang w:eastAsia="zh-CN"/>
        </w:rPr>
        <w:t>。</w:t>
      </w:r>
    </w:p>
    <w:p w14:paraId="4D9AE3EE">
      <w:pPr>
        <w:spacing w:line="240" w:lineRule="auto"/>
        <w:ind w:firstLine="549"/>
        <w:rPr>
          <w:rFonts w:hint="default"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2</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水土流失治理措施体系研究</w:t>
      </w:r>
    </w:p>
    <w:p w14:paraId="6ACA72B4">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val="en-US" w:eastAsia="zh-CN"/>
        </w:rPr>
        <w:t>开展</w:t>
      </w:r>
      <w:r>
        <w:rPr>
          <w:rFonts w:hint="default" w:ascii="Times New Roman" w:hAnsi="Times New Roman" w:eastAsia="宋体" w:cs="Times New Roman"/>
          <w:snapToGrid w:val="0"/>
          <w:color w:val="auto"/>
          <w:sz w:val="28"/>
          <w:szCs w:val="28"/>
        </w:rPr>
        <w:t>防治或减轻地下漏失的耕保技术措施、高碳型植被修复(水保林)措施、生态系统服务功能提升的植被修复和多样性配置等方面的技术研究、示范。</w:t>
      </w:r>
    </w:p>
    <w:p w14:paraId="323154FB">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3</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智慧水保监测技术研究</w:t>
      </w:r>
    </w:p>
    <w:p w14:paraId="5A250F3D">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snapToGrid w:val="0"/>
          <w:color w:val="auto"/>
          <w:sz w:val="28"/>
          <w:szCs w:val="28"/>
          <w:lang w:eastAsia="zh-CN"/>
        </w:rPr>
      </w:pPr>
      <w:r>
        <w:rPr>
          <w:rFonts w:hint="default" w:ascii="Times New Roman" w:hAnsi="Times New Roman" w:cs="Times New Roman"/>
          <w:snapToGrid w:val="0"/>
          <w:color w:val="auto"/>
          <w:sz w:val="28"/>
          <w:szCs w:val="28"/>
          <w:lang w:eastAsia="zh-CN"/>
        </w:rPr>
        <w:t>探索建立</w:t>
      </w:r>
      <w:r>
        <w:rPr>
          <w:rFonts w:hint="default" w:ascii="Times New Roman" w:hAnsi="Times New Roman" w:eastAsia="宋体" w:cs="Times New Roman"/>
          <w:snapToGrid w:val="0"/>
          <w:color w:val="auto"/>
          <w:sz w:val="28"/>
          <w:szCs w:val="28"/>
        </w:rPr>
        <w:t>坡面侵蚀沟发育三维激光扫描、扰动面与弃渣量快速航测等水土流失监测技术体系。</w:t>
      </w:r>
      <w:r>
        <w:rPr>
          <w:rFonts w:hint="default" w:ascii="Times New Roman" w:hAnsi="Times New Roman" w:eastAsia="宋体" w:cs="Times New Roman"/>
          <w:snapToGrid w:val="0"/>
          <w:color w:val="auto"/>
          <w:sz w:val="28"/>
          <w:szCs w:val="28"/>
          <w:lang w:eastAsia="zh-CN"/>
        </w:rPr>
        <w:t>建立</w:t>
      </w:r>
      <w:r>
        <w:rPr>
          <w:rFonts w:hint="default" w:ascii="Times New Roman" w:hAnsi="Times New Roman" w:eastAsia="宋体" w:cs="Times New Roman"/>
          <w:snapToGrid w:val="0"/>
          <w:color w:val="auto"/>
          <w:sz w:val="28"/>
          <w:szCs w:val="28"/>
        </w:rPr>
        <w:t>自动采集监测</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智能遥感解译</w:t>
      </w:r>
      <w:r>
        <w:rPr>
          <w:rFonts w:hint="default"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智慧水保应用</w:t>
      </w:r>
      <w:r>
        <w:rPr>
          <w:rFonts w:hint="default" w:ascii="Times New Roman" w:hAnsi="Times New Roman" w:eastAsia="宋体" w:cs="Times New Roman"/>
          <w:snapToGrid w:val="0"/>
          <w:color w:val="auto"/>
          <w:sz w:val="28"/>
          <w:szCs w:val="28"/>
          <w:lang w:eastAsia="zh-CN"/>
        </w:rPr>
        <w:t>监测</w:t>
      </w:r>
      <w:r>
        <w:rPr>
          <w:rFonts w:hint="default" w:ascii="Times New Roman" w:hAnsi="Times New Roman" w:cs="Times New Roman"/>
          <w:snapToGrid w:val="0"/>
          <w:color w:val="auto"/>
          <w:sz w:val="28"/>
          <w:szCs w:val="28"/>
          <w:lang w:val="en-US" w:eastAsia="zh-CN"/>
        </w:rPr>
        <w:t>技术</w:t>
      </w:r>
      <w:r>
        <w:rPr>
          <w:rFonts w:hint="default" w:ascii="Times New Roman" w:hAnsi="Times New Roman" w:eastAsia="宋体" w:cs="Times New Roman"/>
          <w:snapToGrid w:val="0"/>
          <w:color w:val="auto"/>
          <w:sz w:val="28"/>
          <w:szCs w:val="28"/>
          <w:lang w:eastAsia="zh-CN"/>
        </w:rPr>
        <w:t>体系。</w:t>
      </w:r>
    </w:p>
    <w:p w14:paraId="4D860639">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snapToGrid w:val="0"/>
          <w:color w:val="auto"/>
          <w:sz w:val="28"/>
          <w:szCs w:val="28"/>
          <w:lang w:eastAsia="zh-CN"/>
        </w:rPr>
      </w:pPr>
      <w:r>
        <w:rPr>
          <w:rFonts w:hint="default" w:ascii="Times New Roman" w:hAnsi="Times New Roman" w:cs="Times New Roman"/>
          <w:snapToGrid w:val="0"/>
          <w:color w:val="auto"/>
          <w:sz w:val="28"/>
          <w:szCs w:val="28"/>
          <w:lang w:val="en-US" w:eastAsia="zh-CN"/>
        </w:rPr>
        <w:t>（4）</w:t>
      </w:r>
      <w:r>
        <w:rPr>
          <w:rFonts w:hint="default" w:ascii="Times New Roman" w:hAnsi="Times New Roman" w:eastAsia="宋体" w:cs="Times New Roman"/>
          <w:snapToGrid w:val="0"/>
          <w:color w:val="auto"/>
          <w:sz w:val="28"/>
          <w:szCs w:val="28"/>
          <w:lang w:val="en-US" w:eastAsia="zh-CN"/>
        </w:rPr>
        <w:t>水土保持生态功能评估</w:t>
      </w:r>
      <w:r>
        <w:rPr>
          <w:rFonts w:hint="default" w:ascii="Times New Roman" w:hAnsi="Times New Roman" w:cs="Times New Roman"/>
          <w:snapToGrid w:val="0"/>
          <w:color w:val="auto"/>
          <w:sz w:val="28"/>
          <w:szCs w:val="28"/>
          <w:lang w:val="en-US" w:eastAsia="zh-CN"/>
        </w:rPr>
        <w:t>研究</w:t>
      </w:r>
    </w:p>
    <w:p w14:paraId="56138393">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lang w:eastAsia="zh-CN"/>
        </w:rPr>
        <w:t>探索</w:t>
      </w:r>
      <w:r>
        <w:rPr>
          <w:rFonts w:hint="default" w:ascii="Times New Roman" w:hAnsi="Times New Roman" w:eastAsia="宋体" w:cs="Times New Roman"/>
          <w:color w:val="auto"/>
          <w:sz w:val="28"/>
          <w:szCs w:val="28"/>
          <w:lang w:eastAsia="zh-CN"/>
        </w:rPr>
        <w:t>建立水土保持生态功能评价指标体系</w:t>
      </w:r>
      <w:r>
        <w:rPr>
          <w:rFonts w:hint="default" w:ascii="Times New Roman" w:hAnsi="Times New Roman" w:cs="Times New Roman"/>
          <w:color w:val="auto"/>
          <w:sz w:val="28"/>
          <w:szCs w:val="28"/>
          <w:lang w:val="en-US" w:eastAsia="zh-CN"/>
        </w:rPr>
        <w:t>及</w:t>
      </w:r>
      <w:r>
        <w:rPr>
          <w:rFonts w:hint="default" w:ascii="Times New Roman" w:hAnsi="Times New Roman" w:eastAsia="宋体" w:cs="Times New Roman"/>
          <w:snapToGrid w:val="0"/>
          <w:color w:val="auto"/>
          <w:sz w:val="28"/>
          <w:szCs w:val="28"/>
        </w:rPr>
        <w:t>生态清洁小流域建设指标体系。</w:t>
      </w:r>
      <w:r>
        <w:rPr>
          <w:rFonts w:hint="default" w:ascii="Times New Roman" w:hAnsi="Times New Roman" w:eastAsia="宋体" w:cs="Times New Roman"/>
          <w:color w:val="auto"/>
          <w:sz w:val="28"/>
          <w:szCs w:val="28"/>
          <w:lang w:eastAsia="zh-CN"/>
        </w:rPr>
        <w:t>为生态系统保护成效监测评估、提升生态系统质量和稳定性等提供水土保持</w:t>
      </w:r>
      <w:r>
        <w:rPr>
          <w:rFonts w:hint="default" w:ascii="Times New Roman" w:hAnsi="Times New Roman" w:cs="Times New Roman"/>
          <w:color w:val="auto"/>
          <w:sz w:val="28"/>
          <w:szCs w:val="28"/>
          <w:lang w:eastAsia="zh-CN"/>
        </w:rPr>
        <w:t>技术</w:t>
      </w:r>
      <w:r>
        <w:rPr>
          <w:rFonts w:hint="default" w:ascii="Times New Roman" w:hAnsi="Times New Roman" w:eastAsia="宋体" w:cs="Times New Roman"/>
          <w:color w:val="auto"/>
          <w:sz w:val="28"/>
          <w:szCs w:val="28"/>
          <w:lang w:eastAsia="zh-CN"/>
        </w:rPr>
        <w:t>支撑。</w:t>
      </w:r>
    </w:p>
    <w:p w14:paraId="58B2AFAC">
      <w:pPr>
        <w:pStyle w:val="12"/>
        <w:keepNext w:val="0"/>
        <w:keepLines w:val="0"/>
        <w:pageBreakBefore w:val="0"/>
        <w:widowControl/>
        <w:numPr>
          <w:ilvl w:val="0"/>
          <w:numId w:val="0"/>
        </w:numPr>
        <w:kinsoku/>
        <w:wordWrap/>
        <w:overflowPunct/>
        <w:topLinePunct w:val="0"/>
        <w:autoSpaceDE/>
        <w:autoSpaceDN/>
        <w:bidi w:val="0"/>
        <w:adjustRightInd/>
        <w:snapToGrid/>
        <w:ind w:leftChars="200"/>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（5）水土保持对碳中和和碳达峰的贡献研究</w:t>
      </w:r>
    </w:p>
    <w:p w14:paraId="6E31DAED">
      <w:pPr>
        <w:pStyle w:val="12"/>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结合国家双碳目标，反演过去并预测未来土壤侵蚀对我省生态系统碳收支的影响，开展水土保持对碳中和与生物多样性及西南生态安全的研究。</w:t>
      </w:r>
      <w:r>
        <w:rPr>
          <w:rFonts w:hint="default" w:ascii="Times New Roman" w:hAnsi="Times New Roman" w:eastAsia="宋体" w:cs="Times New Roman"/>
          <w:snapToGrid w:val="0"/>
          <w:color w:val="auto"/>
          <w:sz w:val="28"/>
          <w:szCs w:val="28"/>
          <w:lang w:eastAsia="zh-CN"/>
        </w:rPr>
        <w:t>积极探索开展水土保持措施碳汇能力影响机制及水土流失泥沙碳汇研究，</w:t>
      </w:r>
      <w:r>
        <w:rPr>
          <w:rFonts w:hint="default" w:ascii="Times New Roman" w:hAnsi="Times New Roman" w:eastAsia="宋体" w:cs="Times New Roman"/>
          <w:color w:val="auto"/>
          <w:sz w:val="28"/>
          <w:szCs w:val="28"/>
        </w:rPr>
        <w:t>打通“绿水青山”转化为“金山银山”通道</w:t>
      </w:r>
      <w:r>
        <w:rPr>
          <w:rFonts w:hint="default" w:ascii="Times New Roman" w:hAnsi="Times New Roman" w:eastAsia="宋体" w:cs="Times New Roman"/>
          <w:color w:val="auto"/>
          <w:sz w:val="28"/>
          <w:szCs w:val="28"/>
          <w:lang w:eastAsia="zh-CN"/>
        </w:rPr>
        <w:t>。</w:t>
      </w:r>
    </w:p>
    <w:p w14:paraId="4B5DFEBF">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47" w:name="_Toc32641"/>
      <w:r>
        <w:rPr>
          <w:rFonts w:hint="eastAsia" w:ascii="Times New Roman" w:hAnsi="Times New Roman" w:eastAsia="楷体_GB2312" w:cs="Times New Roman"/>
          <w:b/>
          <w:bCs w:val="0"/>
          <w:snapToGrid w:val="0"/>
          <w:color w:val="auto"/>
          <w:kern w:val="2"/>
          <w:sz w:val="30"/>
          <w:szCs w:val="30"/>
          <w:lang w:val="en-US" w:eastAsia="zh-CN" w:bidi="ar-SA"/>
        </w:rPr>
        <w:t>（三）标准体系建设</w:t>
      </w:r>
      <w:bookmarkEnd w:id="247"/>
    </w:p>
    <w:p w14:paraId="47A648F9">
      <w:pPr>
        <w:pStyle w:val="12"/>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color w:val="auto"/>
          <w:sz w:val="28"/>
          <w:szCs w:val="28"/>
          <w:lang w:eastAsia="zh-CN"/>
        </w:rPr>
      </w:pPr>
      <w:r>
        <w:rPr>
          <w:rFonts w:hint="default" w:ascii="Times New Roman" w:hAnsi="Times New Roman" w:cs="Times New Roman"/>
          <w:snapToGrid w:val="0"/>
          <w:color w:val="auto"/>
          <w:sz w:val="28"/>
          <w:szCs w:val="28"/>
          <w:lang w:eastAsia="zh-CN"/>
        </w:rPr>
        <w:t>积极开展我省水土保持技术标准体系的制修订工作。制订发布《贵州省水土流失危害分类分级标准》，修订发布《贵州省生产建设项目水土保持方案技术标准》《贵州省生产建设项目水土保持监测技术规范》，</w:t>
      </w:r>
      <w:r>
        <w:rPr>
          <w:rFonts w:hint="default" w:ascii="Times New Roman" w:hAnsi="Times New Roman" w:eastAsia="宋体" w:cs="Times New Roman"/>
          <w:snapToGrid w:val="0"/>
          <w:color w:val="auto"/>
          <w:sz w:val="28"/>
          <w:szCs w:val="28"/>
          <w:lang w:eastAsia="zh-CN"/>
        </w:rPr>
        <w:t>组织开展</w:t>
      </w:r>
      <w:r>
        <w:rPr>
          <w:rFonts w:hint="default" w:ascii="Times New Roman" w:hAnsi="Times New Roman" w:cs="Times New Roman"/>
          <w:snapToGrid w:val="0"/>
          <w:color w:val="auto"/>
          <w:sz w:val="28"/>
          <w:szCs w:val="28"/>
          <w:lang w:eastAsia="zh-CN"/>
        </w:rPr>
        <w:t>适宜于</w:t>
      </w:r>
      <w:r>
        <w:rPr>
          <w:rFonts w:hint="default" w:ascii="Times New Roman" w:hAnsi="Times New Roman" w:eastAsia="宋体" w:cs="Times New Roman"/>
          <w:snapToGrid w:val="0"/>
          <w:color w:val="auto"/>
          <w:sz w:val="28"/>
          <w:szCs w:val="28"/>
          <w:lang w:eastAsia="zh-CN"/>
        </w:rPr>
        <w:t>我省</w:t>
      </w:r>
      <w:r>
        <w:rPr>
          <w:rFonts w:hint="default" w:ascii="Times New Roman" w:hAnsi="Times New Roman" w:cs="Times New Roman"/>
          <w:snapToGrid w:val="0"/>
          <w:color w:val="auto"/>
          <w:sz w:val="28"/>
          <w:szCs w:val="28"/>
          <w:lang w:eastAsia="zh-CN"/>
        </w:rPr>
        <w:t>的</w:t>
      </w:r>
      <w:r>
        <w:rPr>
          <w:rFonts w:hint="default" w:ascii="Times New Roman" w:hAnsi="Times New Roman" w:eastAsia="宋体" w:cs="Times New Roman"/>
          <w:snapToGrid w:val="0"/>
          <w:color w:val="auto"/>
          <w:sz w:val="28"/>
          <w:szCs w:val="28"/>
          <w:lang w:eastAsia="zh-CN"/>
        </w:rPr>
        <w:t>国家水土保持重点工程</w:t>
      </w:r>
      <w:r>
        <w:rPr>
          <w:rFonts w:hint="default" w:ascii="Times New Roman" w:hAnsi="Times New Roman" w:cs="Times New Roman"/>
          <w:snapToGrid w:val="0"/>
          <w:color w:val="auto"/>
          <w:sz w:val="28"/>
          <w:szCs w:val="28"/>
          <w:lang w:eastAsia="zh-CN"/>
        </w:rPr>
        <w:t>及相关生态建设工程的水土保持</w:t>
      </w:r>
      <w:r>
        <w:rPr>
          <w:rFonts w:hint="default" w:ascii="Times New Roman" w:hAnsi="Times New Roman" w:eastAsia="宋体" w:cs="Times New Roman"/>
          <w:snapToGrid w:val="0"/>
          <w:color w:val="auto"/>
          <w:sz w:val="28"/>
          <w:szCs w:val="28"/>
          <w:lang w:eastAsia="zh-CN"/>
        </w:rPr>
        <w:t>监测规范</w:t>
      </w:r>
      <w:r>
        <w:rPr>
          <w:rFonts w:hint="default" w:ascii="Times New Roman" w:hAnsi="Times New Roman" w:cs="Times New Roman"/>
          <w:snapToGrid w:val="0"/>
          <w:color w:val="auto"/>
          <w:sz w:val="28"/>
          <w:szCs w:val="28"/>
          <w:lang w:eastAsia="zh-CN"/>
        </w:rPr>
        <w:t>编制</w:t>
      </w:r>
      <w:r>
        <w:rPr>
          <w:rFonts w:hint="default" w:ascii="Times New Roman" w:hAnsi="Times New Roman" w:eastAsia="宋体" w:cs="Times New Roman"/>
          <w:snapToGrid w:val="0"/>
          <w:color w:val="auto"/>
          <w:sz w:val="28"/>
          <w:szCs w:val="28"/>
          <w:lang w:eastAsia="zh-CN"/>
        </w:rPr>
        <w:t>调查</w:t>
      </w:r>
      <w:r>
        <w:rPr>
          <w:rFonts w:hint="default" w:ascii="Times New Roman" w:hAnsi="Times New Roman" w:eastAsia="宋体" w:cs="Times New Roman"/>
          <w:color w:val="auto"/>
          <w:sz w:val="28"/>
          <w:szCs w:val="28"/>
        </w:rPr>
        <w:t>研究</w:t>
      </w:r>
      <w:r>
        <w:rPr>
          <w:rFonts w:hint="default" w:ascii="Times New Roman" w:hAnsi="Times New Roman" w:cs="Times New Roman"/>
          <w:color w:val="auto"/>
          <w:sz w:val="28"/>
          <w:szCs w:val="28"/>
          <w:lang w:eastAsia="zh-CN"/>
        </w:rPr>
        <w:t>工作，进一步创新水土保持相关技术体系。</w:t>
      </w:r>
    </w:p>
    <w:p w14:paraId="29BA0E31">
      <w:pPr>
        <w:pStyle w:val="8"/>
        <w:spacing w:before="120" w:after="120" w:line="360" w:lineRule="auto"/>
        <w:rPr>
          <w:rFonts w:hint="default" w:ascii="Times New Roman" w:hAnsi="Times New Roman" w:eastAsia="楷体_GB2312" w:cs="Times New Roman"/>
          <w:b/>
          <w:bCs w:val="0"/>
          <w:snapToGrid w:val="0"/>
          <w:color w:val="auto"/>
          <w:kern w:val="2"/>
          <w:sz w:val="30"/>
          <w:szCs w:val="30"/>
          <w:lang w:val="en-US" w:eastAsia="zh-CN" w:bidi="ar-SA"/>
        </w:rPr>
      </w:pPr>
      <w:bookmarkStart w:id="248" w:name="_Toc11795"/>
      <w:r>
        <w:rPr>
          <w:rFonts w:hint="eastAsia" w:ascii="Times New Roman" w:hAnsi="Times New Roman" w:eastAsia="楷体_GB2312" w:cs="Times New Roman"/>
          <w:b/>
          <w:bCs w:val="0"/>
          <w:snapToGrid w:val="0"/>
          <w:color w:val="auto"/>
          <w:kern w:val="2"/>
          <w:sz w:val="30"/>
          <w:szCs w:val="30"/>
          <w:lang w:val="en-US" w:eastAsia="zh-CN" w:bidi="ar-SA"/>
        </w:rPr>
        <w:t>（四）技术运用推广</w:t>
      </w:r>
      <w:bookmarkEnd w:id="248"/>
    </w:p>
    <w:p w14:paraId="3AC77AE4">
      <w:pPr>
        <w:pStyle w:val="12"/>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各级水行政主管部门要收集整理和引进消化实用的水土保持科研成果，积极加强省内“路—池—果”“生态蓄水池”等成熟技术的交流培训和运用推广，</w:t>
      </w:r>
      <w:r>
        <w:rPr>
          <w:rFonts w:hint="eastAsia" w:ascii="Times New Roman" w:hAnsi="Times New Roman" w:cs="Times New Roman"/>
          <w:color w:val="auto"/>
          <w:sz w:val="28"/>
          <w:szCs w:val="28"/>
          <w:lang w:val="en-US" w:eastAsia="zh-CN"/>
        </w:rPr>
        <w:t>增强科技转换能力的提升与输出，</w:t>
      </w:r>
      <w:r>
        <w:rPr>
          <w:rFonts w:hint="default" w:ascii="Times New Roman" w:hAnsi="Times New Roman" w:cs="Times New Roman"/>
          <w:color w:val="auto"/>
          <w:sz w:val="28"/>
          <w:szCs w:val="28"/>
          <w:lang w:eastAsia="zh-CN"/>
        </w:rPr>
        <w:t>巩固拓展脱贫攻坚成果，助力乡村振兴。</w:t>
      </w:r>
    </w:p>
    <w:p w14:paraId="4EF6662F">
      <w:pPr>
        <w:pStyle w:val="12"/>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lang w:eastAsia="zh-CN"/>
        </w:rPr>
        <w:t>积极创新水土保持治理和小流域综合治理模式，采取“以奖代补、先建后补、村民自建、以工代赈”等建设管理模式，打造生态产业型、生态宜居型、生态旅游型等“小流域+”，着力推进我省重点治理工程提质增效，进一步巩固和提升治理成效。</w:t>
      </w:r>
    </w:p>
    <w:p w14:paraId="3CF6CF3C">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49" w:name="_Toc13579"/>
      <w:r>
        <w:rPr>
          <w:rFonts w:hint="eastAsia" w:ascii="Times New Roman" w:hAnsi="Times New Roman" w:eastAsia="楷体_GB2312" w:cs="Times New Roman"/>
          <w:b/>
          <w:bCs w:val="0"/>
          <w:snapToGrid w:val="0"/>
          <w:color w:val="auto"/>
          <w:kern w:val="2"/>
          <w:sz w:val="30"/>
          <w:szCs w:val="30"/>
          <w:lang w:val="en-US" w:eastAsia="zh-CN" w:bidi="ar-SA"/>
        </w:rPr>
        <w:t>（五）水土保持示范创建</w:t>
      </w:r>
      <w:bookmarkEnd w:id="249"/>
    </w:p>
    <w:p w14:paraId="73564D54">
      <w:pPr>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各级水行政</w:t>
      </w:r>
      <w:r>
        <w:rPr>
          <w:rFonts w:hint="default" w:ascii="Times New Roman" w:hAnsi="Times New Roman" w:eastAsia="宋体" w:cs="Times New Roman"/>
          <w:snapToGrid w:val="0"/>
          <w:color w:val="auto"/>
          <w:sz w:val="28"/>
          <w:szCs w:val="28"/>
          <w:lang w:eastAsia="zh-CN"/>
        </w:rPr>
        <w:t>主管</w:t>
      </w:r>
      <w:r>
        <w:rPr>
          <w:rFonts w:hint="default" w:ascii="Times New Roman" w:hAnsi="Times New Roman" w:eastAsia="宋体" w:cs="Times New Roman"/>
          <w:snapToGrid w:val="0"/>
          <w:color w:val="auto"/>
          <w:sz w:val="28"/>
          <w:szCs w:val="28"/>
        </w:rPr>
        <w:t>部门</w:t>
      </w:r>
      <w:r>
        <w:rPr>
          <w:rFonts w:hint="default" w:ascii="Times New Roman" w:hAnsi="Times New Roman" w:eastAsia="宋体" w:cs="Times New Roman"/>
          <w:snapToGrid w:val="0"/>
          <w:color w:val="auto"/>
          <w:sz w:val="28"/>
          <w:szCs w:val="28"/>
          <w:lang w:eastAsia="zh-CN"/>
        </w:rPr>
        <w:t>要积极组织和协调</w:t>
      </w:r>
      <w:r>
        <w:rPr>
          <w:rFonts w:hint="default" w:ascii="Times New Roman" w:hAnsi="Times New Roman" w:eastAsia="宋体" w:cs="Times New Roman"/>
          <w:snapToGrid w:val="0"/>
          <w:color w:val="auto"/>
          <w:sz w:val="28"/>
          <w:szCs w:val="28"/>
        </w:rPr>
        <w:t>相关单位按照《国家水土保持示范创建管理办法》</w:t>
      </w:r>
      <w:r>
        <w:rPr>
          <w:rFonts w:hint="default" w:ascii="Times New Roman" w:hAnsi="Times New Roman" w:eastAsia="宋体" w:cs="Times New Roman"/>
          <w:snapToGrid w:val="0"/>
          <w:color w:val="auto"/>
          <w:sz w:val="28"/>
          <w:szCs w:val="28"/>
          <w:lang w:eastAsia="zh-CN"/>
        </w:rPr>
        <w:t>，因地制宜</w:t>
      </w:r>
      <w:r>
        <w:rPr>
          <w:rFonts w:hint="default" w:ascii="Times New Roman" w:hAnsi="Times New Roman" w:eastAsia="宋体" w:cs="Times New Roman"/>
          <w:snapToGrid w:val="0"/>
          <w:color w:val="auto"/>
          <w:sz w:val="28"/>
          <w:szCs w:val="28"/>
        </w:rPr>
        <w:t>开展省级和国家级水土保持示范县、水土保持示范园、水土保持示范工程（含生态清洁小流域示范工程和生产建设项目水土保持示范工程）</w:t>
      </w:r>
      <w:r>
        <w:rPr>
          <w:rFonts w:hint="default" w:ascii="Times New Roman" w:hAnsi="Times New Roman" w:eastAsia="宋体" w:cs="Times New Roman"/>
          <w:snapToGrid w:val="0"/>
          <w:color w:val="auto"/>
          <w:sz w:val="28"/>
          <w:szCs w:val="28"/>
          <w:lang w:eastAsia="zh-CN"/>
        </w:rPr>
        <w:t>的</w:t>
      </w:r>
      <w:r>
        <w:rPr>
          <w:rFonts w:hint="default" w:ascii="Times New Roman" w:hAnsi="Times New Roman" w:eastAsia="宋体" w:cs="Times New Roman"/>
          <w:snapToGrid w:val="0"/>
          <w:color w:val="auto"/>
          <w:sz w:val="28"/>
          <w:szCs w:val="28"/>
        </w:rPr>
        <w:t>推荐、申报、评审、创建总结等</w:t>
      </w:r>
      <w:r>
        <w:rPr>
          <w:rFonts w:hint="default" w:ascii="Times New Roman" w:hAnsi="Times New Roman" w:eastAsia="宋体" w:cs="Times New Roman"/>
          <w:snapToGrid w:val="0"/>
          <w:color w:val="auto"/>
          <w:sz w:val="28"/>
          <w:szCs w:val="28"/>
          <w:lang w:eastAsia="zh-CN"/>
        </w:rPr>
        <w:t>水土保持示范创建</w:t>
      </w:r>
      <w:r>
        <w:rPr>
          <w:rFonts w:hint="default" w:ascii="Times New Roman" w:hAnsi="Times New Roman" w:eastAsia="宋体" w:cs="Times New Roman"/>
          <w:snapToGrid w:val="0"/>
          <w:color w:val="auto"/>
          <w:sz w:val="28"/>
          <w:szCs w:val="28"/>
        </w:rPr>
        <w:t>工作。将水土保持示范创建成效</w:t>
      </w:r>
      <w:r>
        <w:rPr>
          <w:rFonts w:hint="default" w:ascii="Times New Roman" w:hAnsi="Times New Roman" w:eastAsia="宋体" w:cs="Times New Roman"/>
          <w:snapToGrid w:val="0"/>
          <w:color w:val="auto"/>
          <w:sz w:val="28"/>
          <w:szCs w:val="28"/>
          <w:lang w:eastAsia="zh-CN"/>
        </w:rPr>
        <w:t>纳入</w:t>
      </w:r>
      <w:r>
        <w:rPr>
          <w:rFonts w:hint="default" w:ascii="Times New Roman" w:hAnsi="Times New Roman" w:eastAsia="宋体" w:cs="Times New Roman"/>
          <w:snapToGrid w:val="0"/>
          <w:color w:val="auto"/>
          <w:sz w:val="28"/>
          <w:szCs w:val="28"/>
        </w:rPr>
        <w:t>推进新</w:t>
      </w:r>
      <w:r>
        <w:rPr>
          <w:rFonts w:hint="default" w:ascii="Times New Roman" w:hAnsi="Times New Roman" w:eastAsia="宋体" w:cs="Times New Roman"/>
          <w:snapToGrid w:val="0"/>
          <w:color w:val="auto"/>
          <w:sz w:val="28"/>
          <w:szCs w:val="28"/>
          <w:lang w:eastAsia="zh-CN"/>
        </w:rPr>
        <w:t>时期</w:t>
      </w:r>
      <w:r>
        <w:rPr>
          <w:rFonts w:hint="default" w:ascii="Times New Roman" w:hAnsi="Times New Roman" w:eastAsia="宋体" w:cs="Times New Roman"/>
          <w:snapToGrid w:val="0"/>
          <w:color w:val="auto"/>
          <w:sz w:val="28"/>
          <w:szCs w:val="28"/>
        </w:rPr>
        <w:t>水土保持生态建设高质量发展成效的重要内容。</w:t>
      </w:r>
      <w:r>
        <w:rPr>
          <w:rFonts w:hint="default" w:ascii="Times New Roman" w:hAnsi="Times New Roman" w:eastAsia="宋体" w:cs="Times New Roman"/>
          <w:snapToGrid w:val="0"/>
          <w:color w:val="auto"/>
          <w:sz w:val="28"/>
          <w:szCs w:val="28"/>
          <w:lang w:eastAsia="zh-CN"/>
        </w:rPr>
        <w:t>着力打造一批高标准的水土保持示范样板</w:t>
      </w:r>
      <w:r>
        <w:rPr>
          <w:rFonts w:hint="default" w:ascii="Times New Roman" w:hAnsi="Times New Roman" w:eastAsia="宋体" w:cs="Times New Roman"/>
          <w:snapToGrid w:val="0"/>
          <w:color w:val="auto"/>
          <w:sz w:val="28"/>
          <w:szCs w:val="28"/>
        </w:rPr>
        <w:t>，将水土保持科技示范园、示范工程作为普及水土保持知识、体现水土保持成效的重要阵地，</w:t>
      </w:r>
      <w:r>
        <w:rPr>
          <w:rFonts w:hint="default" w:ascii="Times New Roman" w:hAnsi="Times New Roman" w:eastAsia="宋体" w:cs="Times New Roman"/>
          <w:snapToGrid w:val="0"/>
          <w:color w:val="auto"/>
          <w:sz w:val="28"/>
          <w:szCs w:val="28"/>
          <w:lang w:eastAsia="zh-CN"/>
        </w:rPr>
        <w:t>发挥示范引领作用</w:t>
      </w:r>
      <w:r>
        <w:rPr>
          <w:rFonts w:hint="default" w:ascii="Times New Roman" w:hAnsi="Times New Roman" w:eastAsia="宋体" w:cs="Times New Roman"/>
          <w:snapToGrid w:val="0"/>
          <w:color w:val="auto"/>
          <w:sz w:val="28"/>
          <w:szCs w:val="28"/>
        </w:rPr>
        <w:t>。</w:t>
      </w:r>
      <w:r>
        <w:rPr>
          <w:rFonts w:hint="default" w:ascii="Times New Roman" w:hAnsi="Times New Roman" w:eastAsia="宋体" w:cs="Times New Roman"/>
          <w:snapToGrid w:val="0"/>
          <w:color w:val="auto"/>
          <w:sz w:val="28"/>
          <w:szCs w:val="28"/>
          <w:lang w:eastAsia="zh-CN"/>
        </w:rPr>
        <w:t>各级水行政主管</w:t>
      </w:r>
      <w:r>
        <w:rPr>
          <w:rFonts w:hint="default" w:ascii="Times New Roman" w:hAnsi="Times New Roman" w:eastAsia="宋体" w:cs="Times New Roman"/>
          <w:snapToGrid w:val="0"/>
          <w:color w:val="auto"/>
          <w:sz w:val="28"/>
          <w:szCs w:val="28"/>
        </w:rPr>
        <w:t>部门</w:t>
      </w:r>
      <w:r>
        <w:rPr>
          <w:rFonts w:hint="default" w:ascii="Times New Roman" w:hAnsi="Times New Roman" w:eastAsia="宋体" w:cs="Times New Roman"/>
          <w:snapToGrid w:val="0"/>
          <w:color w:val="auto"/>
          <w:sz w:val="28"/>
          <w:szCs w:val="28"/>
          <w:lang w:eastAsia="zh-CN"/>
        </w:rPr>
        <w:t>要领导</w:t>
      </w:r>
      <w:r>
        <w:rPr>
          <w:rFonts w:hint="default" w:ascii="Times New Roman" w:hAnsi="Times New Roman" w:eastAsia="宋体" w:cs="Times New Roman"/>
          <w:snapToGrid w:val="0"/>
          <w:color w:val="auto"/>
          <w:sz w:val="28"/>
          <w:szCs w:val="28"/>
        </w:rPr>
        <w:t>运行管理单位加强水土保持示范区设施设备</w:t>
      </w:r>
      <w:r>
        <w:rPr>
          <w:rFonts w:hint="default" w:ascii="Times New Roman" w:hAnsi="Times New Roman" w:eastAsia="宋体" w:cs="Times New Roman"/>
          <w:snapToGrid w:val="0"/>
          <w:color w:val="auto"/>
          <w:sz w:val="28"/>
          <w:szCs w:val="28"/>
          <w:lang w:eastAsia="zh-CN"/>
        </w:rPr>
        <w:t>的</w:t>
      </w:r>
      <w:r>
        <w:rPr>
          <w:rFonts w:hint="default" w:ascii="Times New Roman" w:hAnsi="Times New Roman" w:eastAsia="宋体" w:cs="Times New Roman"/>
          <w:snapToGrid w:val="0"/>
          <w:color w:val="auto"/>
          <w:sz w:val="28"/>
          <w:szCs w:val="28"/>
        </w:rPr>
        <w:t>维修维护</w:t>
      </w:r>
      <w:r>
        <w:rPr>
          <w:rFonts w:hint="default" w:ascii="Times New Roman" w:hAnsi="Times New Roman" w:eastAsia="宋体" w:cs="Times New Roman"/>
          <w:snapToGrid w:val="0"/>
          <w:color w:val="auto"/>
          <w:sz w:val="28"/>
          <w:szCs w:val="28"/>
          <w:lang w:eastAsia="zh-CN"/>
        </w:rPr>
        <w:t>及</w:t>
      </w:r>
      <w:r>
        <w:rPr>
          <w:rFonts w:hint="default" w:ascii="Times New Roman" w:hAnsi="Times New Roman" w:eastAsia="宋体" w:cs="Times New Roman"/>
          <w:snapToGrid w:val="0"/>
          <w:color w:val="auto"/>
          <w:sz w:val="28"/>
          <w:szCs w:val="28"/>
        </w:rPr>
        <w:t>后续管理工作，保障水土保持示范区及设施设备发挥应有的功能。新增国家级水土保持示范</w:t>
      </w:r>
      <w:r>
        <w:rPr>
          <w:rFonts w:hint="eastAsia" w:ascii="Times New Roman" w:hAnsi="Times New Roman" w:eastAsia="宋体" w:cs="Times New Roman"/>
          <w:snapToGrid w:val="0"/>
          <w:color w:val="auto"/>
          <w:sz w:val="28"/>
          <w:szCs w:val="28"/>
          <w:lang w:val="en-US" w:eastAsia="zh-CN"/>
        </w:rPr>
        <w:t>县（</w:t>
      </w:r>
      <w:r>
        <w:rPr>
          <w:rFonts w:hint="default" w:ascii="Times New Roman" w:hAnsi="Times New Roman" w:eastAsia="宋体" w:cs="Times New Roman"/>
          <w:snapToGrid w:val="0"/>
          <w:color w:val="auto"/>
          <w:sz w:val="28"/>
          <w:szCs w:val="28"/>
        </w:rPr>
        <w:t>园</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工程）</w:t>
      </w:r>
      <w:r>
        <w:rPr>
          <w:rFonts w:hint="default" w:ascii="Times New Roman" w:hAnsi="Times New Roman" w:eastAsia="宋体" w:cs="Times New Roman"/>
          <w:snapToGrid w:val="0"/>
          <w:color w:val="auto"/>
          <w:sz w:val="28"/>
          <w:szCs w:val="28"/>
        </w:rPr>
        <w:t>5个，新增省级水土保持示范园</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工程</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10个</w:t>
      </w:r>
      <w:r>
        <w:rPr>
          <w:rStyle w:val="22"/>
          <w:rFonts w:hint="default" w:ascii="Times New Roman" w:hAnsi="Times New Roman" w:eastAsia="宋体" w:cs="Times New Roman"/>
          <w:snapToGrid w:val="0"/>
          <w:color w:val="auto"/>
          <w:sz w:val="28"/>
          <w:szCs w:val="28"/>
        </w:rPr>
        <w:t>[</w:t>
      </w:r>
      <w:r>
        <w:rPr>
          <w:rStyle w:val="22"/>
          <w:rFonts w:hint="default" w:ascii="Times New Roman" w:hAnsi="Times New Roman" w:eastAsia="宋体" w:cs="Times New Roman"/>
          <w:snapToGrid w:val="0"/>
          <w:color w:val="auto"/>
          <w:sz w:val="28"/>
          <w:szCs w:val="28"/>
        </w:rPr>
        <w:footnoteReference w:id="14"/>
      </w:r>
      <w:r>
        <w:rPr>
          <w:rStyle w:val="22"/>
          <w:rFonts w:hint="default" w:ascii="Times New Roman" w:hAnsi="Times New Roman" w:eastAsia="宋体" w:cs="Times New Roman"/>
          <w:snapToGrid w:val="0"/>
          <w:color w:val="auto"/>
          <w:sz w:val="28"/>
          <w:szCs w:val="28"/>
        </w:rPr>
        <w:t>]</w:t>
      </w:r>
      <w:r>
        <w:rPr>
          <w:rFonts w:hint="default" w:ascii="Times New Roman" w:hAnsi="Times New Roman" w:eastAsia="宋体" w:cs="Times New Roman"/>
          <w:snapToGrid w:val="0"/>
          <w:color w:val="auto"/>
          <w:sz w:val="28"/>
          <w:szCs w:val="28"/>
        </w:rPr>
        <w:t>。</w:t>
      </w:r>
    </w:p>
    <w:p w14:paraId="2D175DB0">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50" w:name="_Toc14920"/>
      <w:r>
        <w:rPr>
          <w:rFonts w:hint="eastAsia" w:ascii="Times New Roman" w:hAnsi="Times New Roman" w:eastAsia="楷体_GB2312" w:cs="Times New Roman"/>
          <w:b/>
          <w:bCs w:val="0"/>
          <w:snapToGrid w:val="0"/>
          <w:color w:val="auto"/>
          <w:kern w:val="2"/>
          <w:sz w:val="30"/>
          <w:szCs w:val="30"/>
          <w:lang w:val="en-US" w:eastAsia="zh-CN" w:bidi="ar-SA"/>
        </w:rPr>
        <w:t>（六）基础平台建设</w:t>
      </w:r>
      <w:bookmarkEnd w:id="250"/>
    </w:p>
    <w:p w14:paraId="06A4FD19">
      <w:pPr>
        <w:pStyle w:val="9"/>
        <w:spacing w:line="240" w:lineRule="auto"/>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lang w:eastAsia="zh-CN"/>
        </w:rPr>
        <w:t>积极协调整合我省现有水土保持科研资源和人才队伍，研究筹建贵州省水土保持科技交流和创新平台，</w:t>
      </w:r>
      <w:r>
        <w:rPr>
          <w:rFonts w:hint="default" w:ascii="Times New Roman" w:hAnsi="Times New Roman" w:eastAsia="宋体" w:cs="Times New Roman"/>
          <w:snapToGrid w:val="0"/>
          <w:color w:val="auto"/>
          <w:sz w:val="28"/>
          <w:szCs w:val="28"/>
        </w:rPr>
        <w:t>依托现有的大专院校、水利、林业、国土和农业等科研机构、地方水土保持科研单位，通过部门协作，</w:t>
      </w:r>
      <w:r>
        <w:rPr>
          <w:rFonts w:hint="default" w:ascii="Times New Roman" w:hAnsi="Times New Roman" w:eastAsia="宋体" w:cs="Times New Roman"/>
          <w:snapToGrid w:val="0"/>
          <w:color w:val="auto"/>
          <w:sz w:val="28"/>
          <w:szCs w:val="28"/>
          <w:lang w:eastAsia="zh-CN"/>
        </w:rPr>
        <w:t>探索</w:t>
      </w:r>
      <w:r>
        <w:rPr>
          <w:rFonts w:hint="default" w:ascii="Times New Roman" w:hAnsi="Times New Roman" w:eastAsia="宋体" w:cs="Times New Roman"/>
          <w:snapToGrid w:val="0"/>
          <w:color w:val="auto"/>
          <w:sz w:val="28"/>
          <w:szCs w:val="28"/>
        </w:rPr>
        <w:t>建立野外科研实验基地</w:t>
      </w:r>
      <w:r>
        <w:rPr>
          <w:rFonts w:hint="default" w:ascii="Times New Roman" w:hAnsi="Times New Roman" w:eastAsia="宋体" w:cs="Times New Roman"/>
          <w:color w:val="auto"/>
          <w:sz w:val="28"/>
          <w:szCs w:val="28"/>
          <w:lang w:eastAsia="zh-CN"/>
        </w:rPr>
        <w:t>。</w:t>
      </w:r>
    </w:p>
    <w:p w14:paraId="65D16FAD">
      <w:pPr>
        <w:pStyle w:val="9"/>
        <w:spacing w:line="240" w:lineRule="auto"/>
        <w:rPr>
          <w:rFonts w:hint="default" w:ascii="Times New Roman" w:hAnsi="Times New Roman" w:eastAsia="宋体" w:cs="Times New Roman"/>
          <w:snapToGrid w:val="0"/>
          <w:color w:val="auto"/>
          <w:sz w:val="28"/>
          <w:szCs w:val="28"/>
          <w:lang w:eastAsia="zh-CN"/>
        </w:rPr>
      </w:pPr>
      <w:r>
        <w:rPr>
          <w:rFonts w:hint="default" w:ascii="Times New Roman" w:hAnsi="Times New Roman" w:eastAsia="宋体" w:cs="Times New Roman"/>
          <w:snapToGrid w:val="0"/>
          <w:color w:val="auto"/>
          <w:sz w:val="28"/>
          <w:szCs w:val="28"/>
          <w:lang w:eastAsia="zh-CN"/>
        </w:rPr>
        <w:t>持续更新和完善贵州省</w:t>
      </w:r>
      <w:r>
        <w:rPr>
          <w:rFonts w:hint="default" w:ascii="Times New Roman" w:hAnsi="Times New Roman" w:eastAsia="宋体" w:cs="Times New Roman"/>
          <w:snapToGrid w:val="0"/>
          <w:color w:val="auto"/>
          <w:sz w:val="28"/>
          <w:szCs w:val="28"/>
        </w:rPr>
        <w:t>水土保持</w:t>
      </w:r>
      <w:r>
        <w:rPr>
          <w:rFonts w:hint="default" w:ascii="Times New Roman" w:hAnsi="Times New Roman" w:eastAsia="宋体" w:cs="Times New Roman"/>
          <w:snapToGrid w:val="0"/>
          <w:color w:val="auto"/>
          <w:sz w:val="28"/>
          <w:szCs w:val="28"/>
          <w:lang w:eastAsia="zh-CN"/>
        </w:rPr>
        <w:t>大数据平台系统，实现与贵州省政务服务“一网通办”平台互联互通，创新便民举措，让“数据多跑路群众少跑腿”，全面推进国家水土保持生态建设工程、生产建设项目水土保持信息化监管，推动我省水土保持信息化建设出新绩。</w:t>
      </w:r>
    </w:p>
    <w:p w14:paraId="565A411E">
      <w:pPr>
        <w:pStyle w:val="9"/>
        <w:spacing w:line="240" w:lineRule="auto"/>
        <w:rPr>
          <w:rFonts w:hint="default" w:ascii="Times New Roman" w:hAnsi="Times New Roman" w:eastAsia="宋体" w:cs="Times New Roman"/>
          <w:snapToGrid w:val="0"/>
          <w:color w:val="auto"/>
          <w:sz w:val="28"/>
          <w:szCs w:val="28"/>
          <w:lang w:eastAsia="zh-CN"/>
        </w:rPr>
      </w:pPr>
      <w:r>
        <w:rPr>
          <w:rFonts w:hint="default" w:ascii="Times New Roman" w:hAnsi="Times New Roman" w:eastAsia="宋体" w:cs="Times New Roman"/>
          <w:snapToGrid w:val="0"/>
          <w:color w:val="auto"/>
          <w:sz w:val="28"/>
          <w:szCs w:val="28"/>
          <w:lang w:eastAsia="zh-CN"/>
        </w:rPr>
        <w:t>综上所述，</w:t>
      </w:r>
      <w:r>
        <w:rPr>
          <w:rFonts w:hint="default" w:ascii="Times New Roman" w:hAnsi="Times New Roman" w:eastAsia="宋体" w:cs="Times New Roman"/>
          <w:snapToGrid w:val="0"/>
          <w:color w:val="auto"/>
          <w:sz w:val="28"/>
          <w:szCs w:val="28"/>
          <w:lang w:val="en-US" w:eastAsia="zh-CN"/>
        </w:rPr>
        <w:t>科技支撑规划任务</w:t>
      </w:r>
      <w:r>
        <w:rPr>
          <w:rFonts w:hint="default" w:ascii="Times New Roman" w:hAnsi="Times New Roman" w:eastAsia="宋体" w:cs="Times New Roman"/>
          <w:snapToGrid w:val="0"/>
          <w:color w:val="auto"/>
          <w:sz w:val="28"/>
          <w:szCs w:val="28"/>
          <w:lang w:eastAsia="zh-CN"/>
        </w:rPr>
        <w:t>详见表</w:t>
      </w:r>
      <w:r>
        <w:rPr>
          <w:rFonts w:hint="eastAsia" w:ascii="Times New Roman" w:hAnsi="Times New Roman" w:eastAsia="宋体" w:cs="Times New Roman"/>
          <w:snapToGrid w:val="0"/>
          <w:color w:val="auto"/>
          <w:sz w:val="28"/>
          <w:szCs w:val="28"/>
          <w:lang w:val="en-US" w:eastAsia="zh-CN"/>
        </w:rPr>
        <w:t>9</w:t>
      </w:r>
      <w:r>
        <w:rPr>
          <w:rFonts w:hint="default" w:ascii="Times New Roman" w:hAnsi="Times New Roman" w:eastAsia="宋体" w:cs="Times New Roman"/>
          <w:snapToGrid w:val="0"/>
          <w:color w:val="auto"/>
          <w:sz w:val="28"/>
          <w:szCs w:val="28"/>
          <w:lang w:val="en-US" w:eastAsia="zh-CN"/>
        </w:rPr>
        <w:t>-1。</w:t>
      </w:r>
    </w:p>
    <w:p w14:paraId="7D9F47D0">
      <w:pPr>
        <w:pStyle w:val="9"/>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9-1</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 xml:space="preserve"> “十四五”</w:t>
      </w:r>
      <w:r>
        <w:rPr>
          <w:rFonts w:hint="eastAsia" w:ascii="Times New Roman" w:hAnsi="Times New Roman" w:eastAsia="宋体" w:cs="Times New Roman"/>
          <w:b/>
          <w:bCs/>
          <w:color w:val="auto"/>
          <w:sz w:val="28"/>
          <w:szCs w:val="28"/>
          <w:lang w:val="en-US" w:eastAsia="zh-CN"/>
        </w:rPr>
        <w:t>期间科技支撑规划</w:t>
      </w:r>
      <w:r>
        <w:rPr>
          <w:rFonts w:hint="eastAsia" w:ascii="Times New Roman" w:hAnsi="Times New Roman" w:cs="Times New Roman"/>
          <w:b/>
          <w:bCs/>
          <w:color w:val="auto"/>
          <w:sz w:val="28"/>
          <w:szCs w:val="28"/>
          <w:lang w:val="en-US" w:eastAsia="zh-CN"/>
        </w:rPr>
        <w:t>任务</w:t>
      </w:r>
      <w:r>
        <w:rPr>
          <w:rFonts w:hint="eastAsia" w:ascii="Times New Roman" w:hAnsi="Times New Roman" w:eastAsia="宋体" w:cs="Times New Roman"/>
          <w:b/>
          <w:bCs/>
          <w:color w:val="auto"/>
          <w:sz w:val="28"/>
          <w:szCs w:val="28"/>
          <w:lang w:val="en-US" w:eastAsia="zh-CN"/>
        </w:rPr>
        <w:t>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50"/>
        <w:gridCol w:w="5457"/>
        <w:gridCol w:w="1612"/>
      </w:tblGrid>
      <w:tr w14:paraId="38F13AB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trPr>
        <w:tc>
          <w:tcPr>
            <w:tcW w:w="851" w:type="pct"/>
            <w:tcBorders>
              <w:tl2br w:val="nil"/>
              <w:tr2bl w:val="nil"/>
            </w:tcBorders>
            <w:shd w:val="clear" w:color="auto" w:fill="auto"/>
            <w:vAlign w:val="center"/>
          </w:tcPr>
          <w:p w14:paraId="7A7B9E94">
            <w:pPr>
              <w:spacing w:line="240" w:lineRule="auto"/>
              <w:jc w:val="center"/>
              <w:rPr>
                <w:rFonts w:hint="default" w:ascii="Times New Roman" w:hAnsi="Times New Roman" w:eastAsia="宋体" w:cs="Times New Roman"/>
                <w:b/>
                <w:bCs/>
                <w:i w:val="0"/>
                <w:iCs w:val="0"/>
                <w:color w:val="auto"/>
                <w:sz w:val="24"/>
                <w:szCs w:val="24"/>
                <w:u w:val="none"/>
                <w:lang w:eastAsia="zh-CN"/>
              </w:rPr>
            </w:pPr>
            <w:r>
              <w:rPr>
                <w:rFonts w:hint="default" w:ascii="Times New Roman" w:hAnsi="Times New Roman" w:eastAsia="宋体" w:cs="Times New Roman"/>
                <w:b/>
                <w:bCs/>
                <w:i w:val="0"/>
                <w:iCs w:val="0"/>
                <w:color w:val="auto"/>
                <w:sz w:val="24"/>
                <w:szCs w:val="24"/>
                <w:u w:val="none"/>
                <w:lang w:eastAsia="zh-CN"/>
              </w:rPr>
              <w:t>名称</w:t>
            </w:r>
          </w:p>
        </w:tc>
        <w:tc>
          <w:tcPr>
            <w:tcW w:w="3202" w:type="pct"/>
            <w:tcBorders>
              <w:tl2br w:val="nil"/>
              <w:tr2bl w:val="nil"/>
            </w:tcBorders>
            <w:shd w:val="clear" w:color="auto" w:fill="auto"/>
            <w:vAlign w:val="center"/>
          </w:tcPr>
          <w:p w14:paraId="4E291ECF">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4"/>
                <w:szCs w:val="24"/>
                <w:u w:val="none"/>
              </w:rPr>
            </w:pPr>
            <w:r>
              <w:rPr>
                <w:rFonts w:hint="eastAsia" w:ascii="Times New Roman" w:hAnsi="Times New Roman" w:eastAsia="宋体" w:cs="Times New Roman"/>
                <w:b/>
                <w:bCs/>
                <w:i w:val="0"/>
                <w:iCs w:val="0"/>
                <w:color w:val="auto"/>
                <w:kern w:val="0"/>
                <w:sz w:val="24"/>
                <w:szCs w:val="24"/>
                <w:u w:val="none"/>
                <w:lang w:val="en-US" w:eastAsia="zh-CN" w:bidi="ar"/>
              </w:rPr>
              <w:t>规划</w:t>
            </w:r>
            <w:r>
              <w:rPr>
                <w:rFonts w:hint="default" w:ascii="Times New Roman" w:hAnsi="Times New Roman" w:eastAsia="宋体" w:cs="Times New Roman"/>
                <w:b/>
                <w:bCs/>
                <w:i w:val="0"/>
                <w:iCs w:val="0"/>
                <w:color w:val="auto"/>
                <w:kern w:val="0"/>
                <w:sz w:val="24"/>
                <w:szCs w:val="24"/>
                <w:u w:val="none"/>
                <w:lang w:val="en-US" w:eastAsia="zh-CN" w:bidi="ar"/>
              </w:rPr>
              <w:t>实施或研究内容</w:t>
            </w:r>
          </w:p>
        </w:tc>
        <w:tc>
          <w:tcPr>
            <w:tcW w:w="946" w:type="pct"/>
            <w:tcBorders>
              <w:tl2br w:val="nil"/>
              <w:tr2bl w:val="nil"/>
            </w:tcBorders>
            <w:shd w:val="clear" w:color="auto" w:fill="auto"/>
            <w:vAlign w:val="center"/>
          </w:tcPr>
          <w:p w14:paraId="4F336B51">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4"/>
                <w:szCs w:val="24"/>
                <w:u w:val="none"/>
                <w:lang w:eastAsia="zh-CN"/>
              </w:rPr>
            </w:pPr>
            <w:r>
              <w:rPr>
                <w:rFonts w:hint="eastAsia" w:ascii="Times New Roman" w:hAnsi="Times New Roman" w:eastAsia="宋体" w:cs="Times New Roman"/>
                <w:b/>
                <w:bCs/>
                <w:i w:val="0"/>
                <w:iCs w:val="0"/>
                <w:color w:val="auto"/>
                <w:sz w:val="24"/>
                <w:szCs w:val="24"/>
                <w:u w:val="none"/>
                <w:lang w:eastAsia="zh-CN"/>
              </w:rPr>
              <w:t>备注</w:t>
            </w:r>
          </w:p>
        </w:tc>
      </w:tr>
      <w:tr w14:paraId="37400C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restart"/>
            <w:tcBorders>
              <w:tl2br w:val="nil"/>
              <w:tr2bl w:val="nil"/>
            </w:tcBorders>
            <w:shd w:val="clear" w:color="auto" w:fill="auto"/>
            <w:vAlign w:val="center"/>
          </w:tcPr>
          <w:p w14:paraId="45519EF1">
            <w:pPr>
              <w:spacing w:line="240" w:lineRule="auto"/>
              <w:jc w:val="center"/>
              <w:rPr>
                <w:rFonts w:hint="default" w:ascii="Times New Roman" w:hAnsi="Times New Roman" w:eastAsia="宋体" w:cs="Times New Roman"/>
                <w:snapToGrid w:val="0"/>
                <w:color w:val="auto"/>
                <w:sz w:val="24"/>
                <w:szCs w:val="24"/>
                <w:lang w:val="en-US" w:eastAsia="zh-CN"/>
              </w:rPr>
            </w:pPr>
            <w:r>
              <w:rPr>
                <w:rFonts w:hint="eastAsia" w:ascii="Times New Roman" w:hAnsi="Times New Roman" w:eastAsia="宋体" w:cs="Times New Roman"/>
                <w:snapToGrid w:val="0"/>
                <w:color w:val="auto"/>
                <w:sz w:val="24"/>
                <w:szCs w:val="24"/>
                <w:lang w:val="en-US" w:eastAsia="zh-CN"/>
              </w:rPr>
              <w:t>基础研究</w:t>
            </w:r>
          </w:p>
        </w:tc>
        <w:tc>
          <w:tcPr>
            <w:tcW w:w="3202" w:type="pct"/>
            <w:tcBorders>
              <w:tl2br w:val="nil"/>
              <w:tr2bl w:val="nil"/>
            </w:tcBorders>
            <w:shd w:val="clear" w:color="auto" w:fill="auto"/>
            <w:vAlign w:val="center"/>
          </w:tcPr>
          <w:p w14:paraId="1361218A">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水土保持率目标分解</w:t>
            </w:r>
            <w:r>
              <w:rPr>
                <w:rFonts w:hint="eastAsia" w:ascii="Times New Roman" w:hAnsi="Times New Roman" w:eastAsia="宋体" w:cs="Times New Roman"/>
                <w:snapToGrid w:val="0"/>
                <w:color w:val="auto"/>
                <w:sz w:val="24"/>
                <w:szCs w:val="24"/>
                <w:lang w:val="en-US" w:eastAsia="zh-CN"/>
              </w:rPr>
              <w:t>和复核</w:t>
            </w:r>
          </w:p>
        </w:tc>
        <w:tc>
          <w:tcPr>
            <w:tcW w:w="946" w:type="pct"/>
            <w:tcBorders>
              <w:tl2br w:val="nil"/>
              <w:tr2bl w:val="nil"/>
            </w:tcBorders>
            <w:shd w:val="clear" w:color="auto" w:fill="auto"/>
            <w:vAlign w:val="center"/>
          </w:tcPr>
          <w:p w14:paraId="093BF223">
            <w:pPr>
              <w:spacing w:line="240" w:lineRule="auto"/>
              <w:jc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组织研究</w:t>
            </w:r>
          </w:p>
        </w:tc>
      </w:tr>
      <w:tr w14:paraId="4C26113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05CE9967">
            <w:pPr>
              <w:spacing w:line="240" w:lineRule="auto"/>
              <w:jc w:val="center"/>
              <w:rPr>
                <w:rFonts w:hint="eastAsia" w:ascii="Times New Roman" w:hAnsi="Times New Roman" w:eastAsia="宋体" w:cs="Times New Roman"/>
                <w:snapToGrid w:val="0"/>
                <w:color w:val="auto"/>
                <w:sz w:val="24"/>
                <w:szCs w:val="24"/>
                <w:lang w:val="en-US" w:eastAsia="zh-CN"/>
              </w:rPr>
            </w:pPr>
          </w:p>
        </w:tc>
        <w:tc>
          <w:tcPr>
            <w:tcW w:w="3202" w:type="pct"/>
            <w:tcBorders>
              <w:tl2br w:val="nil"/>
              <w:tr2bl w:val="nil"/>
            </w:tcBorders>
            <w:shd w:val="clear" w:color="auto" w:fill="auto"/>
            <w:vAlign w:val="center"/>
          </w:tcPr>
          <w:p w14:paraId="24324B8A">
            <w:pPr>
              <w:spacing w:line="240" w:lineRule="auto"/>
              <w:jc w:val="center"/>
              <w:rPr>
                <w:rFonts w:hint="default" w:ascii="Times New Roman" w:hAnsi="Times New Roman" w:eastAsia="宋体" w:cs="Times New Roman"/>
                <w:snapToGrid w:val="0"/>
                <w:color w:val="auto"/>
                <w:sz w:val="24"/>
                <w:szCs w:val="24"/>
                <w:lang w:eastAsia="zh-CN"/>
              </w:rPr>
            </w:pPr>
            <w:r>
              <w:rPr>
                <w:rFonts w:hint="eastAsia" w:ascii="Times New Roman" w:hAnsi="Times New Roman" w:eastAsia="宋体" w:cs="Times New Roman"/>
                <w:snapToGrid w:val="0"/>
                <w:color w:val="auto"/>
                <w:sz w:val="24"/>
                <w:szCs w:val="24"/>
                <w:lang w:eastAsia="zh-CN"/>
              </w:rPr>
              <w:t>高效的</w:t>
            </w:r>
            <w:r>
              <w:rPr>
                <w:rFonts w:hint="default" w:ascii="Times New Roman" w:hAnsi="Times New Roman" w:eastAsia="宋体" w:cs="Times New Roman"/>
                <w:snapToGrid w:val="0"/>
                <w:color w:val="auto"/>
                <w:sz w:val="24"/>
                <w:szCs w:val="24"/>
                <w:lang w:eastAsia="zh-CN"/>
              </w:rPr>
              <w:t>水土流失防治措施体系和治理能力研究</w:t>
            </w:r>
          </w:p>
        </w:tc>
        <w:tc>
          <w:tcPr>
            <w:tcW w:w="946" w:type="pct"/>
            <w:tcBorders>
              <w:tl2br w:val="nil"/>
              <w:tr2bl w:val="nil"/>
            </w:tcBorders>
            <w:shd w:val="clear" w:color="auto" w:fill="auto"/>
            <w:vAlign w:val="center"/>
          </w:tcPr>
          <w:p w14:paraId="69DB29C9">
            <w:pPr>
              <w:spacing w:line="240" w:lineRule="auto"/>
              <w:jc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组织研究</w:t>
            </w:r>
          </w:p>
        </w:tc>
      </w:tr>
      <w:tr w14:paraId="69C747E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6B5EDDFF">
            <w:pPr>
              <w:spacing w:line="240" w:lineRule="auto"/>
              <w:jc w:val="center"/>
              <w:rPr>
                <w:rFonts w:hint="eastAsia" w:ascii="Times New Roman" w:hAnsi="Times New Roman" w:eastAsia="宋体" w:cs="Times New Roman"/>
                <w:snapToGrid w:val="0"/>
                <w:color w:val="auto"/>
                <w:sz w:val="24"/>
                <w:szCs w:val="24"/>
                <w:lang w:val="en-US" w:eastAsia="zh-CN"/>
              </w:rPr>
            </w:pPr>
          </w:p>
        </w:tc>
        <w:tc>
          <w:tcPr>
            <w:tcW w:w="3202" w:type="pct"/>
            <w:tcBorders>
              <w:tl2br w:val="nil"/>
              <w:tr2bl w:val="nil"/>
            </w:tcBorders>
            <w:shd w:val="clear" w:color="auto" w:fill="auto"/>
            <w:vAlign w:val="center"/>
          </w:tcPr>
          <w:p w14:paraId="0A236785">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sz w:val="24"/>
                <w:szCs w:val="24"/>
                <w:lang w:eastAsia="zh-CN"/>
              </w:rPr>
              <w:t>板下经济与水土保持及巩固拓展脱贫攻坚成果研究</w:t>
            </w:r>
          </w:p>
        </w:tc>
        <w:tc>
          <w:tcPr>
            <w:tcW w:w="946" w:type="pct"/>
            <w:tcBorders>
              <w:tl2br w:val="nil"/>
              <w:tr2bl w:val="nil"/>
            </w:tcBorders>
            <w:shd w:val="clear" w:color="auto" w:fill="auto"/>
            <w:vAlign w:val="center"/>
          </w:tcPr>
          <w:p w14:paraId="16B0BB5A">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eastAsia="zh-CN"/>
              </w:rPr>
              <w:t>组织开展</w:t>
            </w:r>
          </w:p>
        </w:tc>
      </w:tr>
      <w:tr w14:paraId="5702E4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6108C970">
            <w:pPr>
              <w:spacing w:line="240" w:lineRule="auto"/>
              <w:jc w:val="center"/>
              <w:rPr>
                <w:rFonts w:hint="eastAsia" w:ascii="Times New Roman" w:hAnsi="Times New Roman" w:eastAsia="宋体" w:cs="Times New Roman"/>
                <w:snapToGrid w:val="0"/>
                <w:color w:val="auto"/>
                <w:sz w:val="24"/>
                <w:szCs w:val="24"/>
                <w:lang w:val="en-US" w:eastAsia="zh-CN"/>
              </w:rPr>
            </w:pPr>
          </w:p>
        </w:tc>
        <w:tc>
          <w:tcPr>
            <w:tcW w:w="3202" w:type="pct"/>
            <w:tcBorders>
              <w:tl2br w:val="nil"/>
              <w:tr2bl w:val="nil"/>
            </w:tcBorders>
            <w:shd w:val="clear" w:color="auto" w:fill="auto"/>
            <w:vAlign w:val="center"/>
          </w:tcPr>
          <w:p w14:paraId="158AF6DA">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sz w:val="24"/>
                <w:szCs w:val="24"/>
                <w:lang w:eastAsia="zh-CN"/>
              </w:rPr>
              <w:t>贵州省水土保持工程以奖代补实施办法</w:t>
            </w:r>
          </w:p>
        </w:tc>
        <w:tc>
          <w:tcPr>
            <w:tcW w:w="946" w:type="pct"/>
            <w:tcBorders>
              <w:tl2br w:val="nil"/>
              <w:tr2bl w:val="nil"/>
            </w:tcBorders>
            <w:shd w:val="clear" w:color="auto" w:fill="auto"/>
            <w:vAlign w:val="center"/>
          </w:tcPr>
          <w:p w14:paraId="0EEBD802">
            <w:pPr>
              <w:spacing w:line="240" w:lineRule="auto"/>
              <w:jc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eastAsia="zh-CN"/>
              </w:rPr>
              <w:t>制订发布</w:t>
            </w:r>
          </w:p>
        </w:tc>
      </w:tr>
      <w:tr w14:paraId="225B01A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4B182F7B">
            <w:pPr>
              <w:spacing w:line="240" w:lineRule="auto"/>
              <w:jc w:val="center"/>
              <w:rPr>
                <w:rFonts w:hint="eastAsia" w:ascii="Times New Roman" w:hAnsi="Times New Roman" w:eastAsia="宋体" w:cs="Times New Roman"/>
                <w:snapToGrid w:val="0"/>
                <w:color w:val="auto"/>
                <w:sz w:val="24"/>
                <w:szCs w:val="24"/>
                <w:lang w:val="en-US" w:eastAsia="zh-CN"/>
              </w:rPr>
            </w:pPr>
          </w:p>
        </w:tc>
        <w:tc>
          <w:tcPr>
            <w:tcW w:w="3202" w:type="pct"/>
            <w:tcBorders>
              <w:tl2br w:val="nil"/>
              <w:tr2bl w:val="nil"/>
            </w:tcBorders>
            <w:shd w:val="clear" w:color="auto" w:fill="auto"/>
            <w:vAlign w:val="center"/>
          </w:tcPr>
          <w:p w14:paraId="65365A6A">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sz w:val="24"/>
                <w:szCs w:val="24"/>
                <w:lang w:eastAsia="zh-CN"/>
              </w:rPr>
              <w:t>贵州省</w:t>
            </w:r>
            <w:r>
              <w:rPr>
                <w:rFonts w:hint="default" w:ascii="Times New Roman" w:hAnsi="Times New Roman" w:eastAsia="宋体" w:cs="Times New Roman"/>
                <w:snapToGrid w:val="0"/>
                <w:color w:val="auto"/>
                <w:sz w:val="24"/>
                <w:szCs w:val="24"/>
              </w:rPr>
              <w:t>生产建设项目水土保持</w:t>
            </w:r>
            <w:r>
              <w:rPr>
                <w:rFonts w:hint="default" w:ascii="Times New Roman" w:hAnsi="Times New Roman" w:eastAsia="宋体" w:cs="Times New Roman"/>
                <w:snapToGrid w:val="0"/>
                <w:color w:val="auto"/>
                <w:sz w:val="24"/>
                <w:szCs w:val="24"/>
                <w:lang w:eastAsia="zh-CN"/>
              </w:rPr>
              <w:t>工作</w:t>
            </w:r>
            <w:r>
              <w:rPr>
                <w:rFonts w:hint="default" w:ascii="Times New Roman" w:hAnsi="Times New Roman" w:eastAsia="宋体" w:cs="Times New Roman"/>
                <w:snapToGrid w:val="0"/>
                <w:color w:val="auto"/>
                <w:sz w:val="24"/>
                <w:szCs w:val="24"/>
              </w:rPr>
              <w:t>手册</w:t>
            </w:r>
          </w:p>
        </w:tc>
        <w:tc>
          <w:tcPr>
            <w:tcW w:w="946" w:type="pct"/>
            <w:tcBorders>
              <w:tl2br w:val="nil"/>
              <w:tr2bl w:val="nil"/>
            </w:tcBorders>
            <w:shd w:val="clear" w:color="auto" w:fill="auto"/>
            <w:vAlign w:val="center"/>
          </w:tcPr>
          <w:p w14:paraId="02C5929C">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eastAsia="zh-CN"/>
              </w:rPr>
              <w:t>组织编制</w:t>
            </w:r>
          </w:p>
        </w:tc>
      </w:tr>
      <w:tr w14:paraId="55CD9A6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restart"/>
            <w:tcBorders>
              <w:tl2br w:val="nil"/>
              <w:tr2bl w:val="nil"/>
            </w:tcBorders>
            <w:shd w:val="clear" w:color="auto" w:fill="auto"/>
            <w:vAlign w:val="center"/>
          </w:tcPr>
          <w:p w14:paraId="3B40CD60">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关键技术研究</w:t>
            </w:r>
          </w:p>
        </w:tc>
        <w:tc>
          <w:tcPr>
            <w:tcW w:w="3202" w:type="pct"/>
            <w:tcBorders>
              <w:tl2br w:val="nil"/>
              <w:tr2bl w:val="nil"/>
            </w:tcBorders>
            <w:shd w:val="clear" w:color="auto" w:fill="auto"/>
            <w:vAlign w:val="center"/>
          </w:tcPr>
          <w:p w14:paraId="0CFC4C63">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sz w:val="24"/>
                <w:szCs w:val="24"/>
                <w:lang w:val="en-US" w:eastAsia="zh-CN"/>
              </w:rPr>
              <w:t>生产建设项目高效防治技术</w:t>
            </w:r>
          </w:p>
        </w:tc>
        <w:tc>
          <w:tcPr>
            <w:tcW w:w="946" w:type="pct"/>
            <w:tcBorders>
              <w:tl2br w:val="nil"/>
              <w:tr2bl w:val="nil"/>
            </w:tcBorders>
            <w:shd w:val="clear" w:color="auto" w:fill="auto"/>
            <w:vAlign w:val="center"/>
          </w:tcPr>
          <w:p w14:paraId="65974DEE">
            <w:pPr>
              <w:spacing w:line="240" w:lineRule="auto"/>
              <w:jc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val="en-US" w:eastAsia="zh-CN"/>
              </w:rPr>
              <w:t>组织研究</w:t>
            </w:r>
          </w:p>
        </w:tc>
      </w:tr>
      <w:tr w14:paraId="35F2AB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011612F7">
            <w:pPr>
              <w:spacing w:line="240" w:lineRule="auto"/>
              <w:jc w:val="center"/>
              <w:rPr>
                <w:rFonts w:hint="default" w:ascii="Times New Roman" w:hAnsi="Times New Roman" w:eastAsia="宋体" w:cs="Times New Roman"/>
                <w:snapToGrid w:val="0"/>
                <w:color w:val="auto"/>
                <w:sz w:val="24"/>
                <w:szCs w:val="24"/>
                <w:lang w:eastAsia="zh-CN"/>
              </w:rPr>
            </w:pPr>
          </w:p>
        </w:tc>
        <w:tc>
          <w:tcPr>
            <w:tcW w:w="3202" w:type="pct"/>
            <w:tcBorders>
              <w:tl2br w:val="nil"/>
              <w:tr2bl w:val="nil"/>
            </w:tcBorders>
            <w:shd w:val="clear" w:color="auto" w:fill="auto"/>
            <w:vAlign w:val="center"/>
          </w:tcPr>
          <w:p w14:paraId="67EE046E">
            <w:pPr>
              <w:spacing w:line="240" w:lineRule="auto"/>
              <w:jc w:val="center"/>
              <w:rPr>
                <w:rFonts w:hint="default" w:ascii="Times New Roman" w:hAnsi="Times New Roman" w:eastAsia="宋体" w:cs="Times New Roman"/>
                <w:snapToGrid w:val="0"/>
                <w:color w:val="auto"/>
                <w:sz w:val="24"/>
                <w:szCs w:val="24"/>
              </w:rPr>
            </w:pPr>
            <w:r>
              <w:rPr>
                <w:rFonts w:hint="eastAsia" w:ascii="Times New Roman" w:hAnsi="Times New Roman" w:eastAsia="宋体" w:cs="Times New Roman"/>
                <w:snapToGrid w:val="0"/>
                <w:color w:val="auto"/>
                <w:sz w:val="24"/>
                <w:szCs w:val="24"/>
                <w:lang w:val="en-US" w:eastAsia="zh-CN"/>
              </w:rPr>
              <w:t>水土流失治理措施体系研究</w:t>
            </w:r>
          </w:p>
        </w:tc>
        <w:tc>
          <w:tcPr>
            <w:tcW w:w="946" w:type="pct"/>
            <w:tcBorders>
              <w:tl2br w:val="nil"/>
              <w:tr2bl w:val="nil"/>
            </w:tcBorders>
            <w:shd w:val="clear" w:color="auto" w:fill="auto"/>
            <w:vAlign w:val="center"/>
          </w:tcPr>
          <w:p w14:paraId="3D591D17">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组织研究</w:t>
            </w:r>
          </w:p>
        </w:tc>
      </w:tr>
      <w:tr w14:paraId="4693C7C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287EB141">
            <w:pPr>
              <w:spacing w:line="240" w:lineRule="auto"/>
              <w:jc w:val="center"/>
              <w:rPr>
                <w:rFonts w:hint="default" w:ascii="Times New Roman" w:hAnsi="Times New Roman" w:eastAsia="宋体" w:cs="Times New Roman"/>
                <w:snapToGrid w:val="0"/>
                <w:color w:val="auto"/>
                <w:sz w:val="24"/>
                <w:szCs w:val="24"/>
                <w:lang w:eastAsia="zh-CN"/>
              </w:rPr>
            </w:pPr>
            <w:bookmarkStart w:id="251" w:name="_Toc9623"/>
          </w:p>
        </w:tc>
        <w:tc>
          <w:tcPr>
            <w:tcW w:w="3202" w:type="pct"/>
            <w:tcBorders>
              <w:tl2br w:val="nil"/>
              <w:tr2bl w:val="nil"/>
            </w:tcBorders>
            <w:shd w:val="clear" w:color="auto" w:fill="auto"/>
            <w:vAlign w:val="center"/>
          </w:tcPr>
          <w:p w14:paraId="04EF6428">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sz w:val="24"/>
                <w:szCs w:val="24"/>
              </w:rPr>
              <w:t>智慧水保</w:t>
            </w:r>
            <w:r>
              <w:rPr>
                <w:rFonts w:hint="default" w:ascii="Times New Roman" w:hAnsi="Times New Roman" w:eastAsia="宋体" w:cs="Times New Roman"/>
                <w:snapToGrid w:val="0"/>
                <w:color w:val="auto"/>
                <w:sz w:val="24"/>
                <w:szCs w:val="24"/>
                <w:lang w:eastAsia="zh-CN"/>
              </w:rPr>
              <w:t>监测</w:t>
            </w:r>
            <w:r>
              <w:rPr>
                <w:rFonts w:hint="eastAsia" w:ascii="Times New Roman" w:hAnsi="Times New Roman" w:eastAsia="宋体" w:cs="Times New Roman"/>
                <w:snapToGrid w:val="0"/>
                <w:color w:val="auto"/>
                <w:sz w:val="24"/>
                <w:szCs w:val="24"/>
                <w:lang w:val="en-US" w:eastAsia="zh-CN"/>
              </w:rPr>
              <w:t>技术研究</w:t>
            </w:r>
          </w:p>
        </w:tc>
        <w:tc>
          <w:tcPr>
            <w:tcW w:w="946" w:type="pct"/>
            <w:tcBorders>
              <w:tl2br w:val="nil"/>
              <w:tr2bl w:val="nil"/>
            </w:tcBorders>
            <w:shd w:val="clear" w:color="auto" w:fill="auto"/>
            <w:vAlign w:val="center"/>
          </w:tcPr>
          <w:p w14:paraId="16FCBF5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eastAsia="zh-CN"/>
              </w:rPr>
              <w:t>组织建立</w:t>
            </w:r>
          </w:p>
        </w:tc>
      </w:tr>
      <w:tr w14:paraId="7B3E81A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6A18FFFA">
            <w:pPr>
              <w:spacing w:line="240" w:lineRule="auto"/>
              <w:jc w:val="center"/>
              <w:rPr>
                <w:rFonts w:hint="default" w:ascii="Times New Roman" w:hAnsi="Times New Roman" w:eastAsia="宋体" w:cs="Times New Roman"/>
                <w:snapToGrid w:val="0"/>
                <w:color w:val="auto"/>
                <w:sz w:val="24"/>
                <w:szCs w:val="24"/>
              </w:rPr>
            </w:pPr>
          </w:p>
        </w:tc>
        <w:tc>
          <w:tcPr>
            <w:tcW w:w="3202" w:type="pct"/>
            <w:tcBorders>
              <w:tl2br w:val="nil"/>
              <w:tr2bl w:val="nil"/>
            </w:tcBorders>
            <w:shd w:val="clear" w:color="auto" w:fill="auto"/>
            <w:vAlign w:val="center"/>
          </w:tcPr>
          <w:p w14:paraId="6D882BCD">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default" w:ascii="Times New Roman" w:hAnsi="Times New Roman" w:eastAsia="宋体" w:cs="Times New Roman"/>
                <w:snapToGrid w:val="0"/>
                <w:color w:val="auto"/>
                <w:sz w:val="24"/>
                <w:szCs w:val="24"/>
                <w:lang w:eastAsia="zh-CN"/>
              </w:rPr>
              <w:t>贵州省</w:t>
            </w:r>
            <w:r>
              <w:rPr>
                <w:rFonts w:hint="default" w:ascii="Times New Roman" w:hAnsi="Times New Roman" w:eastAsia="宋体" w:cs="Times New Roman"/>
                <w:snapToGrid w:val="0"/>
                <w:color w:val="auto"/>
                <w:sz w:val="24"/>
                <w:szCs w:val="24"/>
              </w:rPr>
              <w:t>生态清洁小流域建设指标体系</w:t>
            </w:r>
          </w:p>
        </w:tc>
        <w:tc>
          <w:tcPr>
            <w:tcW w:w="946" w:type="pct"/>
            <w:tcBorders>
              <w:tl2br w:val="nil"/>
              <w:tr2bl w:val="nil"/>
            </w:tcBorders>
            <w:shd w:val="clear" w:color="auto" w:fill="auto"/>
            <w:vAlign w:val="center"/>
          </w:tcPr>
          <w:p w14:paraId="70D9D756">
            <w:pPr>
              <w:spacing w:line="240" w:lineRule="auto"/>
              <w:jc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eastAsia="zh-CN"/>
              </w:rPr>
              <w:t>组织研究</w:t>
            </w:r>
          </w:p>
        </w:tc>
      </w:tr>
      <w:tr w14:paraId="7E5CE67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67BEAABC">
            <w:pPr>
              <w:spacing w:line="240" w:lineRule="auto"/>
              <w:jc w:val="center"/>
              <w:rPr>
                <w:rFonts w:hint="default" w:ascii="Times New Roman" w:hAnsi="Times New Roman" w:eastAsia="宋体" w:cs="Times New Roman"/>
                <w:snapToGrid w:val="0"/>
                <w:color w:val="auto"/>
                <w:sz w:val="24"/>
                <w:szCs w:val="24"/>
              </w:rPr>
            </w:pPr>
          </w:p>
        </w:tc>
        <w:tc>
          <w:tcPr>
            <w:tcW w:w="3202" w:type="pct"/>
            <w:tcBorders>
              <w:tl2br w:val="nil"/>
              <w:tr2bl w:val="nil"/>
            </w:tcBorders>
            <w:shd w:val="clear" w:color="auto" w:fill="auto"/>
            <w:vAlign w:val="center"/>
          </w:tcPr>
          <w:p w14:paraId="39C59849">
            <w:pPr>
              <w:spacing w:line="240" w:lineRule="auto"/>
              <w:jc w:val="center"/>
              <w:rPr>
                <w:rFonts w:hint="default"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sz w:val="24"/>
                <w:szCs w:val="24"/>
                <w:lang w:eastAsia="zh-CN"/>
              </w:rPr>
              <w:t>贵州省水土保持生态功能评价指标体系</w:t>
            </w:r>
          </w:p>
        </w:tc>
        <w:tc>
          <w:tcPr>
            <w:tcW w:w="946" w:type="pct"/>
            <w:tcBorders>
              <w:tl2br w:val="nil"/>
              <w:tr2bl w:val="nil"/>
            </w:tcBorders>
            <w:shd w:val="clear" w:color="auto" w:fill="auto"/>
            <w:vAlign w:val="center"/>
          </w:tcPr>
          <w:p w14:paraId="0A73A911">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Fonts w:hint="eastAsia" w:ascii="Times New Roman" w:hAnsi="Times New Roman" w:eastAsia="宋体" w:cs="Times New Roman"/>
                <w:i w:val="0"/>
                <w:iCs w:val="0"/>
                <w:color w:val="auto"/>
                <w:sz w:val="24"/>
                <w:szCs w:val="24"/>
                <w:u w:val="none"/>
                <w:lang w:eastAsia="zh-CN"/>
              </w:rPr>
              <w:t>探索建立</w:t>
            </w:r>
          </w:p>
        </w:tc>
      </w:tr>
      <w:tr w14:paraId="2076D36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4661B6D1">
            <w:pPr>
              <w:spacing w:line="240" w:lineRule="auto"/>
              <w:jc w:val="center"/>
              <w:rPr>
                <w:rFonts w:hint="default" w:ascii="Times New Roman" w:hAnsi="Times New Roman" w:eastAsia="宋体" w:cs="Times New Roman"/>
                <w:snapToGrid w:val="0"/>
                <w:color w:val="auto"/>
                <w:sz w:val="24"/>
                <w:szCs w:val="24"/>
              </w:rPr>
            </w:pPr>
          </w:p>
        </w:tc>
        <w:tc>
          <w:tcPr>
            <w:tcW w:w="3202" w:type="pct"/>
            <w:tcBorders>
              <w:tl2br w:val="nil"/>
              <w:tr2bl w:val="nil"/>
            </w:tcBorders>
            <w:shd w:val="clear" w:color="auto" w:fill="auto"/>
            <w:vAlign w:val="center"/>
          </w:tcPr>
          <w:p w14:paraId="6A3093F5">
            <w:pPr>
              <w:spacing w:line="240" w:lineRule="auto"/>
              <w:jc w:val="center"/>
              <w:rPr>
                <w:rFonts w:hint="default" w:ascii="Times New Roman" w:hAnsi="Times New Roman" w:eastAsia="宋体" w:cs="Times New Roman"/>
                <w:snapToGrid w:val="0"/>
                <w:color w:val="auto"/>
                <w:sz w:val="24"/>
                <w:szCs w:val="24"/>
                <w:lang w:val="en-US" w:eastAsia="zh-CN"/>
              </w:rPr>
            </w:pPr>
            <w:r>
              <w:rPr>
                <w:rFonts w:hint="eastAsia" w:ascii="Times New Roman" w:hAnsi="Times New Roman" w:eastAsia="宋体" w:cs="Times New Roman"/>
                <w:snapToGrid w:val="0"/>
                <w:color w:val="auto"/>
                <w:sz w:val="24"/>
                <w:szCs w:val="24"/>
                <w:lang w:val="en-US" w:eastAsia="zh-CN"/>
              </w:rPr>
              <w:t>水土保持对碳达峰碳中和的贡献研究</w:t>
            </w:r>
          </w:p>
        </w:tc>
        <w:tc>
          <w:tcPr>
            <w:tcW w:w="946" w:type="pct"/>
            <w:tcBorders>
              <w:tl2br w:val="nil"/>
              <w:tr2bl w:val="nil"/>
            </w:tcBorders>
            <w:shd w:val="clear" w:color="auto" w:fill="auto"/>
            <w:vAlign w:val="center"/>
          </w:tcPr>
          <w:p w14:paraId="41101CC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探索研究</w:t>
            </w:r>
          </w:p>
        </w:tc>
      </w:tr>
      <w:tr w14:paraId="095B20A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restart"/>
            <w:tcBorders>
              <w:tl2br w:val="nil"/>
              <w:tr2bl w:val="nil"/>
            </w:tcBorders>
            <w:shd w:val="clear" w:color="auto" w:fill="auto"/>
            <w:vAlign w:val="center"/>
          </w:tcPr>
          <w:p w14:paraId="07BBD07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lang w:eastAsia="zh-CN"/>
              </w:rPr>
            </w:pPr>
            <w:r>
              <w:rPr>
                <w:rFonts w:hint="default" w:ascii="Times New Roman" w:hAnsi="Times New Roman" w:eastAsia="宋体" w:cs="Times New Roman"/>
                <w:i w:val="0"/>
                <w:iCs w:val="0"/>
                <w:color w:val="auto"/>
                <w:sz w:val="24"/>
                <w:szCs w:val="24"/>
                <w:u w:val="none"/>
                <w:lang w:eastAsia="zh-CN"/>
              </w:rPr>
              <w:t>标准体系建设</w:t>
            </w:r>
          </w:p>
        </w:tc>
        <w:tc>
          <w:tcPr>
            <w:tcW w:w="3202" w:type="pct"/>
            <w:tcBorders>
              <w:tl2br w:val="nil"/>
              <w:tr2bl w:val="nil"/>
            </w:tcBorders>
            <w:shd w:val="clear" w:color="auto" w:fill="auto"/>
            <w:vAlign w:val="center"/>
          </w:tcPr>
          <w:p w14:paraId="366D1EB7">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贵州省水土流失危害分类分级标准</w:t>
            </w:r>
          </w:p>
        </w:tc>
        <w:tc>
          <w:tcPr>
            <w:tcW w:w="946" w:type="pct"/>
            <w:tcBorders>
              <w:tl2br w:val="nil"/>
              <w:tr2bl w:val="nil"/>
            </w:tcBorders>
            <w:shd w:val="clear" w:color="auto" w:fill="auto"/>
            <w:vAlign w:val="center"/>
          </w:tcPr>
          <w:p w14:paraId="51F6DDE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sz w:val="24"/>
                <w:szCs w:val="24"/>
                <w:u w:val="none"/>
                <w:lang w:eastAsia="zh-CN"/>
              </w:rPr>
              <w:t>制订发布</w:t>
            </w:r>
          </w:p>
        </w:tc>
      </w:tr>
      <w:tr w14:paraId="7A5708B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458ED0A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p>
        </w:tc>
        <w:tc>
          <w:tcPr>
            <w:tcW w:w="3202" w:type="pct"/>
            <w:tcBorders>
              <w:tl2br w:val="nil"/>
              <w:tr2bl w:val="nil"/>
            </w:tcBorders>
            <w:shd w:val="clear" w:color="auto" w:fill="auto"/>
            <w:vAlign w:val="center"/>
          </w:tcPr>
          <w:p w14:paraId="52A2553E">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贵州省生产建设项目水土保持方案技术标准</w:t>
            </w:r>
          </w:p>
        </w:tc>
        <w:tc>
          <w:tcPr>
            <w:tcW w:w="946" w:type="pct"/>
            <w:tcBorders>
              <w:tl2br w:val="nil"/>
              <w:tr2bl w:val="nil"/>
            </w:tcBorders>
            <w:shd w:val="clear" w:color="auto" w:fill="auto"/>
            <w:vAlign w:val="center"/>
          </w:tcPr>
          <w:p w14:paraId="0D22647D">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sz w:val="24"/>
                <w:szCs w:val="24"/>
                <w:u w:val="none"/>
                <w:lang w:eastAsia="zh-CN"/>
              </w:rPr>
            </w:pPr>
            <w:r>
              <w:rPr>
                <w:rFonts w:hint="eastAsia" w:ascii="Times New Roman" w:hAnsi="Times New Roman" w:eastAsia="宋体" w:cs="Times New Roman"/>
                <w:i w:val="0"/>
                <w:iCs w:val="0"/>
                <w:color w:val="auto"/>
                <w:sz w:val="24"/>
                <w:szCs w:val="24"/>
                <w:u w:val="none"/>
                <w:lang w:eastAsia="zh-CN"/>
              </w:rPr>
              <w:t>修订发布</w:t>
            </w:r>
          </w:p>
        </w:tc>
      </w:tr>
      <w:tr w14:paraId="761DA2B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0B53E60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p>
        </w:tc>
        <w:tc>
          <w:tcPr>
            <w:tcW w:w="3202" w:type="pct"/>
            <w:tcBorders>
              <w:tl2br w:val="nil"/>
              <w:tr2bl w:val="nil"/>
            </w:tcBorders>
            <w:shd w:val="clear" w:color="auto" w:fill="auto"/>
            <w:vAlign w:val="center"/>
          </w:tcPr>
          <w:p w14:paraId="00BCC59F">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贵州省生产建设项目水土保持监测技术规范</w:t>
            </w:r>
          </w:p>
        </w:tc>
        <w:tc>
          <w:tcPr>
            <w:tcW w:w="946" w:type="pct"/>
            <w:tcBorders>
              <w:tl2br w:val="nil"/>
              <w:tr2bl w:val="nil"/>
            </w:tcBorders>
            <w:shd w:val="clear" w:color="auto" w:fill="auto"/>
            <w:vAlign w:val="center"/>
          </w:tcPr>
          <w:p w14:paraId="49C0F17B">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sz w:val="24"/>
                <w:szCs w:val="24"/>
                <w:u w:val="none"/>
                <w:lang w:eastAsia="zh-CN"/>
              </w:rPr>
              <w:t>修订发布</w:t>
            </w:r>
          </w:p>
        </w:tc>
      </w:tr>
      <w:tr w14:paraId="3C790A4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2C2817E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p>
        </w:tc>
        <w:tc>
          <w:tcPr>
            <w:tcW w:w="3202" w:type="pct"/>
            <w:tcBorders>
              <w:tl2br w:val="nil"/>
              <w:tr2bl w:val="nil"/>
            </w:tcBorders>
            <w:shd w:val="clear" w:color="auto" w:fill="auto"/>
            <w:vAlign w:val="center"/>
          </w:tcPr>
          <w:p w14:paraId="02AF4143">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国家水土保持重点工程水土保持监测规范</w:t>
            </w:r>
          </w:p>
        </w:tc>
        <w:tc>
          <w:tcPr>
            <w:tcW w:w="946" w:type="pct"/>
            <w:tcBorders>
              <w:tl2br w:val="nil"/>
              <w:tr2bl w:val="nil"/>
            </w:tcBorders>
            <w:shd w:val="clear" w:color="auto" w:fill="auto"/>
            <w:vAlign w:val="center"/>
          </w:tcPr>
          <w:p w14:paraId="4AB69DF4">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auto"/>
                <w:sz w:val="24"/>
                <w:szCs w:val="24"/>
                <w:u w:val="none"/>
                <w:lang w:eastAsia="zh-CN"/>
              </w:rPr>
            </w:pPr>
            <w:r>
              <w:rPr>
                <w:rFonts w:hint="eastAsia" w:ascii="Times New Roman" w:hAnsi="Times New Roman" w:eastAsia="宋体" w:cs="Times New Roman"/>
                <w:i w:val="0"/>
                <w:iCs w:val="0"/>
                <w:color w:val="auto"/>
                <w:sz w:val="24"/>
                <w:szCs w:val="24"/>
                <w:u w:val="none"/>
                <w:lang w:eastAsia="zh-CN"/>
              </w:rPr>
              <w:t>组织研究</w:t>
            </w:r>
          </w:p>
        </w:tc>
      </w:tr>
      <w:tr w14:paraId="619AA15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restart"/>
            <w:tcBorders>
              <w:tl2br w:val="nil"/>
              <w:tr2bl w:val="nil"/>
            </w:tcBorders>
            <w:shd w:val="clear" w:color="auto" w:fill="auto"/>
            <w:vAlign w:val="center"/>
          </w:tcPr>
          <w:p w14:paraId="6471479A">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技术运用推广</w:t>
            </w:r>
          </w:p>
        </w:tc>
        <w:tc>
          <w:tcPr>
            <w:tcW w:w="3202" w:type="pct"/>
            <w:tcBorders>
              <w:tl2br w:val="nil"/>
              <w:tr2bl w:val="nil"/>
            </w:tcBorders>
            <w:shd w:val="clear" w:color="auto" w:fill="auto"/>
            <w:vAlign w:val="center"/>
          </w:tcPr>
          <w:p w14:paraId="75178F4D">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省内“路—池—果”交流培训及运用推广</w:t>
            </w:r>
          </w:p>
        </w:tc>
        <w:tc>
          <w:tcPr>
            <w:tcW w:w="946" w:type="pct"/>
            <w:tcBorders>
              <w:tl2br w:val="nil"/>
              <w:tr2bl w:val="nil"/>
            </w:tcBorders>
            <w:shd w:val="clear" w:color="auto" w:fill="auto"/>
            <w:vAlign w:val="center"/>
          </w:tcPr>
          <w:p w14:paraId="0F4B9C7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2～3次/年</w:t>
            </w:r>
          </w:p>
        </w:tc>
      </w:tr>
      <w:tr w14:paraId="5D6DF88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6DAF0F2C">
            <w:pPr>
              <w:spacing w:line="240" w:lineRule="auto"/>
              <w:jc w:val="center"/>
              <w:rPr>
                <w:rFonts w:hint="default" w:ascii="Times New Roman" w:hAnsi="Times New Roman" w:eastAsia="宋体" w:cs="Times New Roman"/>
                <w:snapToGrid w:val="0"/>
                <w:color w:val="auto"/>
                <w:sz w:val="24"/>
                <w:szCs w:val="24"/>
                <w:lang w:eastAsia="zh-CN"/>
              </w:rPr>
            </w:pPr>
          </w:p>
        </w:tc>
        <w:tc>
          <w:tcPr>
            <w:tcW w:w="3202" w:type="pct"/>
            <w:tcBorders>
              <w:tl2br w:val="nil"/>
              <w:tr2bl w:val="nil"/>
            </w:tcBorders>
            <w:shd w:val="clear" w:color="auto" w:fill="auto"/>
            <w:vAlign w:val="center"/>
          </w:tcPr>
          <w:p w14:paraId="5CB927C2">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省内“生态蓄水池”交流培训及运用推广</w:t>
            </w:r>
          </w:p>
        </w:tc>
        <w:tc>
          <w:tcPr>
            <w:tcW w:w="946" w:type="pct"/>
            <w:tcBorders>
              <w:tl2br w:val="nil"/>
              <w:tr2bl w:val="nil"/>
            </w:tcBorders>
            <w:shd w:val="clear" w:color="auto" w:fill="auto"/>
            <w:vAlign w:val="center"/>
          </w:tcPr>
          <w:p w14:paraId="6B4236D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lang w:val="en-US" w:eastAsia="zh-CN"/>
              </w:rPr>
              <w:t>2～3次/年</w:t>
            </w:r>
          </w:p>
        </w:tc>
      </w:tr>
      <w:tr w14:paraId="0BBB8A9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restart"/>
            <w:tcBorders>
              <w:tl2br w:val="nil"/>
              <w:tr2bl w:val="nil"/>
            </w:tcBorders>
            <w:shd w:val="clear" w:color="auto" w:fill="auto"/>
            <w:vAlign w:val="center"/>
          </w:tcPr>
          <w:p w14:paraId="47894BE5">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水土保持示范创建</w:t>
            </w:r>
          </w:p>
        </w:tc>
        <w:tc>
          <w:tcPr>
            <w:tcW w:w="3202" w:type="pct"/>
            <w:tcBorders>
              <w:tl2br w:val="nil"/>
              <w:tr2bl w:val="nil"/>
            </w:tcBorders>
            <w:shd w:val="clear" w:color="auto" w:fill="auto"/>
            <w:vAlign w:val="center"/>
          </w:tcPr>
          <w:p w14:paraId="6A45610B">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新增国家级水土保持示范</w:t>
            </w:r>
            <w:r>
              <w:rPr>
                <w:rFonts w:hint="eastAsia" w:ascii="Times New Roman" w:hAnsi="Times New Roman" w:eastAsia="宋体" w:cs="Times New Roman"/>
                <w:snapToGrid w:val="0"/>
                <w:color w:val="auto"/>
                <w:sz w:val="24"/>
                <w:szCs w:val="24"/>
                <w:lang w:val="en-US" w:eastAsia="zh-CN"/>
              </w:rPr>
              <w:t>县</w:t>
            </w:r>
            <w:r>
              <w:rPr>
                <w:rFonts w:hint="eastAsia" w:ascii="Times New Roman" w:hAnsi="Times New Roman" w:eastAsia="宋体" w:cs="Times New Roman"/>
                <w:snapToGrid w:val="0"/>
                <w:color w:val="auto"/>
                <w:sz w:val="24"/>
                <w:szCs w:val="24"/>
                <w:lang w:eastAsia="zh-CN"/>
              </w:rPr>
              <w:t>（</w:t>
            </w:r>
            <w:r>
              <w:rPr>
                <w:rFonts w:hint="default" w:ascii="Times New Roman" w:hAnsi="Times New Roman" w:eastAsia="宋体" w:cs="Times New Roman"/>
                <w:snapToGrid w:val="0"/>
                <w:color w:val="auto"/>
                <w:sz w:val="24"/>
                <w:szCs w:val="24"/>
                <w:lang w:eastAsia="zh-CN"/>
              </w:rPr>
              <w:t>园</w:t>
            </w:r>
            <w:r>
              <w:rPr>
                <w:rFonts w:hint="eastAsia" w:ascii="Times New Roman" w:hAnsi="Times New Roman" w:eastAsia="宋体" w:cs="Times New Roman"/>
                <w:snapToGrid w:val="0"/>
                <w:color w:val="auto"/>
                <w:sz w:val="24"/>
                <w:szCs w:val="24"/>
                <w:lang w:eastAsia="zh-CN"/>
              </w:rPr>
              <w:t>、</w:t>
            </w:r>
            <w:r>
              <w:rPr>
                <w:rFonts w:hint="eastAsia" w:ascii="Times New Roman" w:hAnsi="Times New Roman" w:eastAsia="宋体" w:cs="Times New Roman"/>
                <w:snapToGrid w:val="0"/>
                <w:color w:val="auto"/>
                <w:sz w:val="24"/>
                <w:szCs w:val="24"/>
                <w:lang w:val="en-US" w:eastAsia="zh-CN"/>
              </w:rPr>
              <w:t>工程</w:t>
            </w:r>
            <w:r>
              <w:rPr>
                <w:rFonts w:hint="eastAsia" w:ascii="Times New Roman" w:hAnsi="Times New Roman" w:eastAsia="宋体" w:cs="Times New Roman"/>
                <w:snapToGrid w:val="0"/>
                <w:color w:val="auto"/>
                <w:sz w:val="24"/>
                <w:szCs w:val="24"/>
                <w:lang w:eastAsia="zh-CN"/>
              </w:rPr>
              <w:t>）</w:t>
            </w:r>
          </w:p>
        </w:tc>
        <w:tc>
          <w:tcPr>
            <w:tcW w:w="946" w:type="pct"/>
            <w:tcBorders>
              <w:tl2br w:val="nil"/>
              <w:tr2bl w:val="nil"/>
            </w:tcBorders>
            <w:shd w:val="clear" w:color="auto" w:fill="auto"/>
            <w:vAlign w:val="center"/>
          </w:tcPr>
          <w:p w14:paraId="4D0CD27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snapToGrid w:val="0"/>
                <w:color w:val="auto"/>
                <w:sz w:val="24"/>
                <w:szCs w:val="24"/>
                <w:lang w:eastAsia="zh-CN"/>
              </w:rPr>
              <w:t>5个</w:t>
            </w:r>
          </w:p>
        </w:tc>
      </w:tr>
      <w:tr w14:paraId="27B3D66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851" w:type="pct"/>
            <w:vMerge w:val="continue"/>
            <w:tcBorders>
              <w:tl2br w:val="nil"/>
              <w:tr2bl w:val="nil"/>
            </w:tcBorders>
            <w:shd w:val="clear" w:color="auto" w:fill="auto"/>
            <w:vAlign w:val="center"/>
          </w:tcPr>
          <w:p w14:paraId="2CBAEF2B">
            <w:pPr>
              <w:spacing w:line="240" w:lineRule="auto"/>
              <w:jc w:val="center"/>
              <w:rPr>
                <w:rFonts w:hint="default" w:ascii="Times New Roman" w:hAnsi="Times New Roman" w:eastAsia="宋体" w:cs="Times New Roman"/>
                <w:snapToGrid w:val="0"/>
                <w:color w:val="auto"/>
                <w:sz w:val="24"/>
                <w:szCs w:val="24"/>
                <w:lang w:eastAsia="zh-CN"/>
              </w:rPr>
            </w:pPr>
          </w:p>
        </w:tc>
        <w:tc>
          <w:tcPr>
            <w:tcW w:w="3202" w:type="pct"/>
            <w:tcBorders>
              <w:tl2br w:val="nil"/>
              <w:tr2bl w:val="nil"/>
            </w:tcBorders>
            <w:shd w:val="clear" w:color="auto" w:fill="auto"/>
            <w:vAlign w:val="center"/>
          </w:tcPr>
          <w:p w14:paraId="4620C26C">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新增省级水土保持示范园</w:t>
            </w:r>
            <w:r>
              <w:rPr>
                <w:rFonts w:hint="eastAsia" w:ascii="Times New Roman" w:hAnsi="Times New Roman" w:eastAsia="宋体" w:cs="Times New Roman"/>
                <w:snapToGrid w:val="0"/>
                <w:color w:val="auto"/>
                <w:sz w:val="24"/>
                <w:szCs w:val="24"/>
                <w:lang w:eastAsia="zh-CN"/>
              </w:rPr>
              <w:t>（</w:t>
            </w:r>
            <w:r>
              <w:rPr>
                <w:rFonts w:hint="eastAsia" w:ascii="Times New Roman" w:hAnsi="Times New Roman" w:eastAsia="宋体" w:cs="Times New Roman"/>
                <w:snapToGrid w:val="0"/>
                <w:color w:val="auto"/>
                <w:sz w:val="24"/>
                <w:szCs w:val="24"/>
                <w:lang w:val="en-US" w:eastAsia="zh-CN"/>
              </w:rPr>
              <w:t>工程</w:t>
            </w:r>
            <w:r>
              <w:rPr>
                <w:rFonts w:hint="eastAsia" w:ascii="Times New Roman" w:hAnsi="Times New Roman" w:eastAsia="宋体" w:cs="Times New Roman"/>
                <w:snapToGrid w:val="0"/>
                <w:color w:val="auto"/>
                <w:sz w:val="24"/>
                <w:szCs w:val="24"/>
                <w:lang w:eastAsia="zh-CN"/>
              </w:rPr>
              <w:t>）</w:t>
            </w:r>
          </w:p>
        </w:tc>
        <w:tc>
          <w:tcPr>
            <w:tcW w:w="946" w:type="pct"/>
            <w:tcBorders>
              <w:tl2br w:val="nil"/>
              <w:tr2bl w:val="nil"/>
            </w:tcBorders>
            <w:shd w:val="clear" w:color="auto" w:fill="auto"/>
            <w:vAlign w:val="center"/>
          </w:tcPr>
          <w:p w14:paraId="64E76D7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snapToGrid w:val="0"/>
                <w:color w:val="auto"/>
                <w:sz w:val="24"/>
                <w:szCs w:val="24"/>
                <w:lang w:eastAsia="zh-CN"/>
              </w:rPr>
              <w:t>10个</w:t>
            </w:r>
          </w:p>
        </w:tc>
      </w:tr>
      <w:tr w14:paraId="6CA690A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restart"/>
            <w:tcBorders>
              <w:tl2br w:val="nil"/>
              <w:tr2bl w:val="nil"/>
            </w:tcBorders>
            <w:shd w:val="clear" w:color="auto" w:fill="auto"/>
            <w:vAlign w:val="center"/>
          </w:tcPr>
          <w:p w14:paraId="09ABCB01">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基础平台建设</w:t>
            </w:r>
          </w:p>
        </w:tc>
        <w:tc>
          <w:tcPr>
            <w:tcW w:w="3202" w:type="pct"/>
            <w:tcBorders>
              <w:tl2br w:val="nil"/>
              <w:tr2bl w:val="nil"/>
            </w:tcBorders>
            <w:shd w:val="clear" w:color="auto" w:fill="auto"/>
            <w:vAlign w:val="center"/>
          </w:tcPr>
          <w:p w14:paraId="63A4892D">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贵州省水土保持科技交流和创新平台</w:t>
            </w:r>
          </w:p>
        </w:tc>
        <w:tc>
          <w:tcPr>
            <w:tcW w:w="946" w:type="pct"/>
            <w:tcBorders>
              <w:tl2br w:val="nil"/>
              <w:tr2bl w:val="nil"/>
            </w:tcBorders>
            <w:shd w:val="clear" w:color="auto" w:fill="auto"/>
            <w:vAlign w:val="center"/>
          </w:tcPr>
          <w:p w14:paraId="5CDFC1C8">
            <w:pPr>
              <w:spacing w:line="240" w:lineRule="auto"/>
              <w:jc w:val="center"/>
              <w:rPr>
                <w:rFonts w:hint="default" w:ascii="Times New Roman" w:hAnsi="Times New Roman" w:eastAsia="宋体" w:cs="Times New Roman"/>
                <w:snapToGrid w:val="0"/>
                <w:color w:val="auto"/>
                <w:sz w:val="24"/>
                <w:szCs w:val="24"/>
                <w:lang w:eastAsia="zh-CN"/>
              </w:rPr>
            </w:pPr>
            <w:r>
              <w:rPr>
                <w:rFonts w:hint="eastAsia" w:ascii="Times New Roman" w:hAnsi="Times New Roman" w:eastAsia="宋体" w:cs="Times New Roman"/>
                <w:snapToGrid w:val="0"/>
                <w:color w:val="auto"/>
                <w:sz w:val="24"/>
                <w:szCs w:val="24"/>
                <w:lang w:eastAsia="zh-CN"/>
              </w:rPr>
              <w:t>研究筹建</w:t>
            </w:r>
          </w:p>
        </w:tc>
      </w:tr>
      <w:tr w14:paraId="6FED647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pct"/>
            <w:vMerge w:val="continue"/>
            <w:tcBorders>
              <w:bottom w:val="single" w:color="000000" w:sz="12" w:space="0"/>
            </w:tcBorders>
            <w:shd w:val="clear" w:color="auto" w:fill="auto"/>
            <w:vAlign w:val="center"/>
          </w:tcPr>
          <w:p w14:paraId="279FD9CA">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4"/>
                <w:szCs w:val="24"/>
                <w:u w:val="none"/>
              </w:rPr>
            </w:pPr>
          </w:p>
        </w:tc>
        <w:tc>
          <w:tcPr>
            <w:tcW w:w="3202" w:type="pct"/>
            <w:tcBorders>
              <w:bottom w:val="single" w:color="000000" w:sz="12" w:space="0"/>
            </w:tcBorders>
            <w:shd w:val="clear" w:color="auto" w:fill="auto"/>
            <w:vAlign w:val="center"/>
          </w:tcPr>
          <w:p w14:paraId="37E1ED9D">
            <w:pPr>
              <w:spacing w:line="240" w:lineRule="auto"/>
              <w:jc w:val="center"/>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lang w:eastAsia="zh-CN"/>
              </w:rPr>
              <w:t>野外科研实验基地</w:t>
            </w:r>
          </w:p>
        </w:tc>
        <w:tc>
          <w:tcPr>
            <w:tcW w:w="946" w:type="pct"/>
            <w:tcBorders>
              <w:bottom w:val="single" w:color="000000" w:sz="12" w:space="0"/>
            </w:tcBorders>
            <w:shd w:val="clear" w:color="auto" w:fill="auto"/>
            <w:vAlign w:val="center"/>
          </w:tcPr>
          <w:p w14:paraId="6C694A05">
            <w:pPr>
              <w:spacing w:line="240" w:lineRule="auto"/>
              <w:jc w:val="center"/>
              <w:rPr>
                <w:rFonts w:hint="eastAsia" w:ascii="Times New Roman" w:hAnsi="Times New Roman" w:eastAsia="宋体" w:cs="Times New Roman"/>
                <w:snapToGrid w:val="0"/>
                <w:color w:val="auto"/>
                <w:sz w:val="24"/>
                <w:szCs w:val="24"/>
                <w:lang w:eastAsia="zh-CN"/>
              </w:rPr>
            </w:pPr>
            <w:r>
              <w:rPr>
                <w:rFonts w:hint="eastAsia" w:ascii="Times New Roman" w:hAnsi="Times New Roman" w:eastAsia="宋体" w:cs="Times New Roman"/>
                <w:snapToGrid w:val="0"/>
                <w:color w:val="auto"/>
                <w:sz w:val="24"/>
                <w:szCs w:val="24"/>
                <w:lang w:eastAsia="zh-CN"/>
              </w:rPr>
              <w:t>探索建立</w:t>
            </w:r>
          </w:p>
        </w:tc>
      </w:tr>
    </w:tbl>
    <w:p w14:paraId="0B7A6ABC">
      <w:pPr>
        <w:pStyle w:val="7"/>
        <w:bidi w:val="0"/>
        <w:rPr>
          <w:rFonts w:hint="eastAsia" w:ascii="黑体" w:hAnsi="黑体" w:eastAsia="黑体" w:cs="黑体"/>
          <w:color w:val="auto"/>
          <w:sz w:val="32"/>
          <w:szCs w:val="32"/>
          <w:lang w:val="en-US" w:eastAsia="zh-CN"/>
        </w:rPr>
      </w:pPr>
      <w:bookmarkStart w:id="252" w:name="_Toc8221"/>
      <w:r>
        <w:rPr>
          <w:rFonts w:hint="eastAsia" w:ascii="黑体" w:hAnsi="黑体" w:eastAsia="黑体" w:cs="黑体"/>
          <w:color w:val="auto"/>
          <w:sz w:val="32"/>
          <w:szCs w:val="32"/>
          <w:lang w:val="en-US" w:eastAsia="zh-CN"/>
        </w:rPr>
        <w:t>二、能力建设</w:t>
      </w:r>
      <w:bookmarkEnd w:id="251"/>
      <w:bookmarkEnd w:id="252"/>
    </w:p>
    <w:p w14:paraId="63E6345B">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53" w:name="_Toc22091"/>
      <w:r>
        <w:rPr>
          <w:rFonts w:hint="eastAsia" w:ascii="Times New Roman" w:hAnsi="Times New Roman" w:eastAsia="楷体_GB2312" w:cs="Times New Roman"/>
          <w:b/>
          <w:bCs w:val="0"/>
          <w:snapToGrid w:val="0"/>
          <w:color w:val="auto"/>
          <w:kern w:val="2"/>
          <w:sz w:val="30"/>
          <w:szCs w:val="30"/>
          <w:lang w:val="en-US" w:eastAsia="zh-CN" w:bidi="ar-SA"/>
        </w:rPr>
        <w:t>（一）监管能力建设</w:t>
      </w:r>
      <w:bookmarkEnd w:id="253"/>
    </w:p>
    <w:p w14:paraId="43B02EB4">
      <w:pPr>
        <w:spacing w:line="240" w:lineRule="auto"/>
        <w:ind w:firstLine="549"/>
        <w:rPr>
          <w:rFonts w:hint="eastAsia"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监管能力建设对各级水土保持监督执法机构提高履职能力和依法行政水平具有重要意义</w:t>
      </w:r>
      <w:r>
        <w:rPr>
          <w:rFonts w:hint="eastAsia" w:ascii="Times New Roman" w:hAnsi="Times New Roman" w:eastAsia="宋体" w:cs="Times New Roman"/>
          <w:snapToGrid w:val="0"/>
          <w:color w:val="auto"/>
          <w:sz w:val="28"/>
          <w:szCs w:val="28"/>
        </w:rPr>
        <w:t>。应</w:t>
      </w:r>
      <w:r>
        <w:rPr>
          <w:rFonts w:hint="default" w:ascii="Times New Roman" w:hAnsi="Times New Roman" w:eastAsia="宋体" w:cs="Times New Roman"/>
          <w:snapToGrid w:val="0"/>
          <w:color w:val="auto"/>
          <w:sz w:val="28"/>
          <w:szCs w:val="28"/>
        </w:rPr>
        <w:t>开展水土保持监督执法人员定期培训与考核，</w:t>
      </w:r>
      <w:r>
        <w:rPr>
          <w:rFonts w:hint="default" w:ascii="Times New Roman" w:hAnsi="Times New Roman" w:eastAsia="宋体" w:cs="Times New Roman"/>
          <w:snapToGrid w:val="0"/>
          <w:color w:val="auto"/>
          <w:sz w:val="28"/>
          <w:szCs w:val="28"/>
          <w:lang w:val="en-US" w:eastAsia="zh-CN"/>
        </w:rPr>
        <w:t>每年</w:t>
      </w:r>
      <w:r>
        <w:rPr>
          <w:rFonts w:hint="eastAsia" w:ascii="Times New Roman" w:hAnsi="Times New Roman" w:eastAsia="宋体" w:cs="Times New Roman"/>
          <w:snapToGrid w:val="0"/>
          <w:color w:val="auto"/>
          <w:sz w:val="28"/>
          <w:szCs w:val="28"/>
          <w:lang w:val="en-US" w:eastAsia="zh-CN"/>
        </w:rPr>
        <w:t>至少</w:t>
      </w:r>
      <w:r>
        <w:rPr>
          <w:rFonts w:hint="default" w:ascii="Times New Roman" w:hAnsi="Times New Roman" w:eastAsia="宋体" w:cs="Times New Roman"/>
          <w:snapToGrid w:val="0"/>
          <w:color w:val="auto"/>
          <w:sz w:val="28"/>
          <w:szCs w:val="28"/>
          <w:lang w:val="en-US" w:eastAsia="zh-CN"/>
        </w:rPr>
        <w:t>开展1次</w:t>
      </w:r>
      <w:r>
        <w:rPr>
          <w:rFonts w:hint="default" w:ascii="Times New Roman" w:hAnsi="Times New Roman" w:eastAsia="宋体" w:cs="Times New Roman"/>
          <w:snapToGrid w:val="0"/>
          <w:color w:val="auto"/>
          <w:sz w:val="28"/>
          <w:szCs w:val="28"/>
        </w:rPr>
        <w:t>研究</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制定监管能力标准化建设方案，</w:t>
      </w:r>
      <w:r>
        <w:rPr>
          <w:rFonts w:hint="eastAsia" w:ascii="Times New Roman" w:hAnsi="Times New Roman" w:eastAsia="宋体" w:cs="Times New Roman"/>
          <w:snapToGrid w:val="0"/>
          <w:color w:val="auto"/>
          <w:sz w:val="28"/>
          <w:szCs w:val="28"/>
        </w:rPr>
        <w:t>着力提升行业调查、现场采集、网上监管能力，</w:t>
      </w:r>
      <w:r>
        <w:rPr>
          <w:rFonts w:hint="default" w:ascii="Times New Roman" w:hAnsi="Times New Roman" w:eastAsia="宋体" w:cs="Times New Roman"/>
          <w:snapToGrid w:val="0"/>
          <w:color w:val="auto"/>
          <w:sz w:val="28"/>
          <w:szCs w:val="28"/>
        </w:rPr>
        <w:t>逐步配备完善各级水土保持监督执法队伍，提高监督执法的质量和效率。做好政务公开，增加监管透明度，提高水土流失综合防治、生产建设项目水土保持的即时监控和处置能力，形成对地方、社会、市场的有效管控体系，为准确有效执法和落实政府目标责任提供依据。</w:t>
      </w:r>
    </w:p>
    <w:p w14:paraId="531BCA20">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54" w:name="_Toc317"/>
      <w:r>
        <w:rPr>
          <w:rFonts w:hint="eastAsia" w:ascii="Times New Roman" w:hAnsi="Times New Roman" w:eastAsia="楷体_GB2312" w:cs="Times New Roman"/>
          <w:b/>
          <w:bCs w:val="0"/>
          <w:snapToGrid w:val="0"/>
          <w:color w:val="auto"/>
          <w:kern w:val="2"/>
          <w:sz w:val="30"/>
          <w:szCs w:val="30"/>
          <w:lang w:val="en-US" w:eastAsia="zh-CN" w:bidi="ar-SA"/>
        </w:rPr>
        <w:t>（二）社会服务能力建设</w:t>
      </w:r>
      <w:bookmarkEnd w:id="254"/>
    </w:p>
    <w:p w14:paraId="4EF04DEF">
      <w:pPr>
        <w:spacing w:line="240" w:lineRule="auto"/>
        <w:ind w:firstLine="549"/>
        <w:rPr>
          <w:rFonts w:hint="default" w:ascii="Times New Roman" w:hAnsi="Times New Roman" w:eastAsia="宋体" w:cs="Times New Roman"/>
          <w:snapToGrid w:val="0"/>
          <w:color w:val="auto"/>
          <w:sz w:val="28"/>
          <w:szCs w:val="28"/>
        </w:rPr>
      </w:pPr>
      <w:r>
        <w:rPr>
          <w:rFonts w:hint="default" w:ascii="Times New Roman" w:hAnsi="Times New Roman" w:eastAsia="宋体" w:cs="Times New Roman"/>
          <w:snapToGrid w:val="0"/>
          <w:color w:val="auto"/>
          <w:sz w:val="28"/>
          <w:szCs w:val="28"/>
        </w:rPr>
        <w:t>完善水土保持方案编制、监测、监理等资质的社会化管理，实现水土保持设计、咨询、监测、评估等技术服务全面市场化运作，建立咨询设计质量和诚信评价体系</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lang w:val="en-US" w:eastAsia="zh-CN"/>
        </w:rPr>
        <w:t>各级水行政主管部门要按照《水利建设市场主体信用信息管理办法》、《水利部办公厅关于实施生产建设项目水土保持信用监管“两单”制度的通知》要求，将水土保持市场主体违法违规行为，纳入“重点关注名单”或“黑名单”，</w:t>
      </w:r>
      <w:r>
        <w:rPr>
          <w:rFonts w:hint="eastAsia" w:ascii="Times New Roman" w:hAnsi="Times New Roman" w:eastAsia="宋体" w:cs="Times New Roman"/>
          <w:snapToGrid w:val="0"/>
          <w:color w:val="auto"/>
          <w:sz w:val="28"/>
          <w:szCs w:val="28"/>
          <w:lang w:val="en-US" w:eastAsia="zh-CN"/>
        </w:rPr>
        <w:t>引入退出机制，</w:t>
      </w:r>
      <w:r>
        <w:rPr>
          <w:rFonts w:hint="default" w:ascii="Times New Roman" w:hAnsi="Times New Roman" w:eastAsia="宋体" w:cs="Times New Roman"/>
          <w:snapToGrid w:val="0"/>
          <w:color w:val="auto"/>
          <w:sz w:val="28"/>
          <w:szCs w:val="28"/>
          <w:lang w:val="en-US" w:eastAsia="zh-CN"/>
        </w:rPr>
        <w:t>实行联合惩戒</w:t>
      </w:r>
      <w:r>
        <w:rPr>
          <w:rFonts w:hint="eastAsia" w:ascii="Times New Roman" w:hAnsi="Times New Roman" w:eastAsia="宋体" w:cs="Times New Roman"/>
          <w:snapToGrid w:val="0"/>
          <w:color w:val="auto"/>
          <w:sz w:val="28"/>
          <w:szCs w:val="28"/>
          <w:lang w:val="en-US" w:eastAsia="zh-CN"/>
        </w:rPr>
        <w:t>，</w:t>
      </w:r>
      <w:r>
        <w:rPr>
          <w:rFonts w:hint="default" w:ascii="Times New Roman" w:hAnsi="Times New Roman" w:eastAsia="宋体" w:cs="Times New Roman"/>
          <w:snapToGrid w:val="0"/>
          <w:color w:val="auto"/>
          <w:sz w:val="28"/>
          <w:szCs w:val="28"/>
        </w:rPr>
        <w:t>确保形成公平公正的、向社会开放的有效竞争市场</w:t>
      </w:r>
      <w:r>
        <w:rPr>
          <w:rFonts w:hint="eastAsia" w:ascii="Times New Roman" w:hAnsi="Times New Roman" w:eastAsia="宋体" w:cs="Times New Roman"/>
          <w:snapToGrid w:val="0"/>
          <w:color w:val="auto"/>
          <w:sz w:val="28"/>
          <w:szCs w:val="28"/>
          <w:lang w:eastAsia="zh-CN"/>
        </w:rPr>
        <w:t>。</w:t>
      </w:r>
      <w:r>
        <w:rPr>
          <w:rFonts w:hint="default" w:ascii="Times New Roman" w:hAnsi="Times New Roman" w:eastAsia="宋体" w:cs="Times New Roman"/>
          <w:snapToGrid w:val="0"/>
          <w:color w:val="auto"/>
          <w:sz w:val="28"/>
          <w:szCs w:val="28"/>
        </w:rPr>
        <w:t>加强从业人员技术与知识更新培训，以社会组织为平台，强化技术交流，提高服务水平。</w:t>
      </w:r>
    </w:p>
    <w:p w14:paraId="439363F5">
      <w:pPr>
        <w:pStyle w:val="8"/>
        <w:spacing w:before="120" w:after="120" w:line="360" w:lineRule="auto"/>
        <w:rPr>
          <w:rFonts w:hint="eastAsia" w:ascii="Times New Roman" w:hAnsi="Times New Roman" w:eastAsia="楷体_GB2312" w:cs="Times New Roman"/>
          <w:b/>
          <w:bCs w:val="0"/>
          <w:snapToGrid w:val="0"/>
          <w:color w:val="auto"/>
          <w:kern w:val="2"/>
          <w:sz w:val="30"/>
          <w:szCs w:val="30"/>
          <w:lang w:val="en-US" w:eastAsia="zh-CN" w:bidi="ar-SA"/>
        </w:rPr>
      </w:pPr>
      <w:bookmarkStart w:id="255" w:name="_Toc19050"/>
      <w:r>
        <w:rPr>
          <w:rFonts w:hint="eastAsia" w:ascii="Times New Roman" w:hAnsi="Times New Roman" w:eastAsia="楷体_GB2312" w:cs="Times New Roman"/>
          <w:b/>
          <w:bCs w:val="0"/>
          <w:snapToGrid w:val="0"/>
          <w:color w:val="auto"/>
          <w:kern w:val="2"/>
          <w:sz w:val="30"/>
          <w:szCs w:val="30"/>
          <w:lang w:val="en-US" w:eastAsia="zh-CN" w:bidi="ar-SA"/>
        </w:rPr>
        <w:t>（三）宣传教育能力建设</w:t>
      </w:r>
      <w:bookmarkEnd w:id="255"/>
    </w:p>
    <w:p w14:paraId="34DB4240">
      <w:pPr>
        <w:pStyle w:val="9"/>
        <w:ind w:left="0" w:leftChars="0" w:firstLine="560" w:firstLineChars="200"/>
        <w:rPr>
          <w:rFonts w:hint="eastAsia" w:ascii="Times New Roman" w:hAnsi="Times New Roman" w:eastAsia="宋体" w:cs="Times New Roman"/>
          <w:snapToGrid w:val="0"/>
          <w:color w:val="auto"/>
          <w:kern w:val="2"/>
          <w:sz w:val="28"/>
          <w:szCs w:val="28"/>
          <w:lang w:val="en-US" w:eastAsia="zh-CN" w:bidi="ar-SA"/>
        </w:rPr>
      </w:pPr>
      <w:r>
        <w:rPr>
          <w:rFonts w:hint="eastAsia" w:ascii="Times New Roman" w:hAnsi="Times New Roman" w:eastAsia="宋体" w:cs="Times New Roman"/>
          <w:snapToGrid w:val="0"/>
          <w:color w:val="auto"/>
          <w:kern w:val="2"/>
          <w:sz w:val="28"/>
          <w:szCs w:val="28"/>
          <w:lang w:val="en-US" w:eastAsia="zh-CN" w:bidi="ar-SA"/>
        </w:rPr>
        <w:t>适应强化生态文明建设的需要，提高全社会保护水土资源和可持续发展的意识。在加强水土保持宣传机构、人才培养与教育建设的同时，完善宣传平台建设，重视电视、报纸、期刊等传统信息传播方式，加强信息化时代网络和移动终端等新媒体宣传平台建设；制定水土保持宣传方案，完善宣传顶层设计，关注社会热点，做好宣传选题选材，提升宣传效果；强化日常业务宣传，向社会公众方便迅捷地提供水土保持信息和技术服务。</w:t>
      </w:r>
    </w:p>
    <w:p w14:paraId="262638B9">
      <w:pPr>
        <w:keepNext w:val="0"/>
        <w:keepLines w:val="0"/>
        <w:pageBreakBefore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eastAsia="zh-CN"/>
        </w:rPr>
        <w:t>综上所述，水土保持能力建设规划任务详见表</w:t>
      </w:r>
      <w:r>
        <w:rPr>
          <w:rFonts w:hint="eastAsia" w:ascii="Times New Roman" w:hAnsi="Times New Roman" w:eastAsia="宋体" w:cs="Times New Roman"/>
          <w:snapToGrid w:val="0"/>
          <w:color w:val="auto"/>
          <w:sz w:val="28"/>
          <w:szCs w:val="28"/>
          <w:lang w:val="en-US" w:eastAsia="zh-CN"/>
        </w:rPr>
        <w:t>9-2。</w:t>
      </w:r>
    </w:p>
    <w:p w14:paraId="6BB7A1F6">
      <w:pPr>
        <w:pStyle w:val="2"/>
        <w:rPr>
          <w:rFonts w:hint="eastAsia" w:ascii="Times New Roman" w:hAnsi="Times New Roman" w:eastAsia="宋体" w:cs="Times New Roman"/>
          <w:snapToGrid w:val="0"/>
          <w:color w:val="auto"/>
          <w:sz w:val="28"/>
          <w:szCs w:val="28"/>
          <w:lang w:val="en-US" w:eastAsia="zh-CN"/>
        </w:rPr>
      </w:pPr>
    </w:p>
    <w:p w14:paraId="7DB85B46">
      <w:pPr>
        <w:pStyle w:val="9"/>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Times New Roman" w:hAnsi="Times New Roman" w:eastAsia="宋体" w:cs="Times New Roman"/>
          <w:color w:val="auto"/>
          <w:kern w:val="2"/>
          <w:sz w:val="28"/>
          <w:szCs w:val="28"/>
          <w:lang w:val="en-US"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9-2</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 xml:space="preserve"> “十四五”</w:t>
      </w:r>
      <w:r>
        <w:rPr>
          <w:rFonts w:hint="eastAsia" w:ascii="Times New Roman" w:hAnsi="Times New Roman" w:eastAsia="宋体" w:cs="Times New Roman"/>
          <w:b/>
          <w:bCs/>
          <w:color w:val="auto"/>
          <w:sz w:val="28"/>
          <w:szCs w:val="28"/>
          <w:lang w:val="en-US" w:eastAsia="zh-CN"/>
        </w:rPr>
        <w:t>期间水土保持能力建设规划</w:t>
      </w:r>
      <w:r>
        <w:rPr>
          <w:rFonts w:hint="eastAsia" w:ascii="Times New Roman" w:hAnsi="Times New Roman" w:cs="Times New Roman"/>
          <w:b/>
          <w:bCs/>
          <w:color w:val="auto"/>
          <w:sz w:val="28"/>
          <w:szCs w:val="28"/>
          <w:lang w:val="en-US" w:eastAsia="zh-CN"/>
        </w:rPr>
        <w:t>任务</w:t>
      </w:r>
      <w:r>
        <w:rPr>
          <w:rFonts w:hint="eastAsia" w:ascii="Times New Roman" w:hAnsi="Times New Roman" w:eastAsia="宋体" w:cs="Times New Roman"/>
          <w:b/>
          <w:bCs/>
          <w:color w:val="auto"/>
          <w:sz w:val="28"/>
          <w:szCs w:val="28"/>
          <w:lang w:val="en-US" w:eastAsia="zh-CN"/>
        </w:rPr>
        <w:t>表</w:t>
      </w:r>
    </w:p>
    <w:tbl>
      <w:tblPr>
        <w:tblStyle w:val="19"/>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803"/>
        <w:gridCol w:w="5104"/>
        <w:gridCol w:w="1612"/>
      </w:tblGrid>
      <w:tr w14:paraId="5A07288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058" w:type="pct"/>
            <w:tcBorders>
              <w:top w:val="single" w:color="000000" w:sz="12" w:space="0"/>
            </w:tcBorders>
            <w:shd w:val="clear" w:color="auto" w:fill="auto"/>
            <w:vAlign w:val="center"/>
          </w:tcPr>
          <w:p w14:paraId="3383A99B">
            <w:pPr>
              <w:spacing w:line="240" w:lineRule="auto"/>
              <w:jc w:val="center"/>
              <w:rPr>
                <w:rFonts w:hint="default" w:ascii="Times New Roman" w:hAnsi="Times New Roman" w:eastAsia="宋体" w:cs="Times New Roman"/>
                <w:b/>
                <w:bCs/>
                <w:i w:val="0"/>
                <w:iCs w:val="0"/>
                <w:color w:val="auto"/>
                <w:sz w:val="24"/>
                <w:szCs w:val="24"/>
                <w:u w:val="none"/>
                <w:lang w:eastAsia="zh-CN"/>
              </w:rPr>
            </w:pPr>
            <w:r>
              <w:rPr>
                <w:rFonts w:hint="default" w:ascii="Times New Roman" w:hAnsi="Times New Roman" w:eastAsia="宋体" w:cs="Times New Roman"/>
                <w:b/>
                <w:bCs/>
                <w:i w:val="0"/>
                <w:iCs w:val="0"/>
                <w:color w:val="auto"/>
                <w:sz w:val="24"/>
                <w:szCs w:val="24"/>
                <w:u w:val="none"/>
                <w:lang w:eastAsia="zh-CN"/>
              </w:rPr>
              <w:t>名称</w:t>
            </w:r>
          </w:p>
        </w:tc>
        <w:tc>
          <w:tcPr>
            <w:tcW w:w="2995" w:type="pct"/>
            <w:tcBorders>
              <w:top w:val="single" w:color="000000" w:sz="12" w:space="0"/>
            </w:tcBorders>
            <w:shd w:val="clear" w:color="auto" w:fill="auto"/>
            <w:vAlign w:val="center"/>
          </w:tcPr>
          <w:p w14:paraId="120BC739">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4"/>
                <w:szCs w:val="24"/>
                <w:u w:val="none"/>
              </w:rPr>
            </w:pPr>
            <w:r>
              <w:rPr>
                <w:rFonts w:hint="eastAsia" w:ascii="Times New Roman" w:hAnsi="Times New Roman" w:eastAsia="宋体" w:cs="Times New Roman"/>
                <w:b/>
                <w:bCs/>
                <w:i w:val="0"/>
                <w:iCs w:val="0"/>
                <w:color w:val="auto"/>
                <w:kern w:val="0"/>
                <w:sz w:val="24"/>
                <w:szCs w:val="24"/>
                <w:u w:val="none"/>
                <w:lang w:val="en-US" w:eastAsia="zh-CN" w:bidi="ar"/>
              </w:rPr>
              <w:t>规划</w:t>
            </w:r>
            <w:r>
              <w:rPr>
                <w:rFonts w:hint="default" w:ascii="Times New Roman" w:hAnsi="Times New Roman" w:eastAsia="宋体" w:cs="Times New Roman"/>
                <w:b/>
                <w:bCs/>
                <w:i w:val="0"/>
                <w:iCs w:val="0"/>
                <w:color w:val="auto"/>
                <w:kern w:val="0"/>
                <w:sz w:val="24"/>
                <w:szCs w:val="24"/>
                <w:u w:val="none"/>
                <w:lang w:val="en-US" w:eastAsia="zh-CN" w:bidi="ar"/>
              </w:rPr>
              <w:t>内容</w:t>
            </w:r>
          </w:p>
        </w:tc>
        <w:tc>
          <w:tcPr>
            <w:tcW w:w="946" w:type="pct"/>
            <w:tcBorders>
              <w:top w:val="single" w:color="000000" w:sz="12" w:space="0"/>
            </w:tcBorders>
            <w:shd w:val="clear" w:color="auto" w:fill="auto"/>
            <w:vAlign w:val="center"/>
          </w:tcPr>
          <w:p w14:paraId="1EF3CBB0">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4"/>
                <w:szCs w:val="24"/>
                <w:u w:val="none"/>
                <w:lang w:eastAsia="zh-CN"/>
              </w:rPr>
            </w:pPr>
            <w:r>
              <w:rPr>
                <w:rFonts w:hint="eastAsia" w:ascii="Times New Roman" w:hAnsi="Times New Roman" w:eastAsia="宋体" w:cs="Times New Roman"/>
                <w:b/>
                <w:bCs/>
                <w:i w:val="0"/>
                <w:iCs w:val="0"/>
                <w:color w:val="auto"/>
                <w:sz w:val="24"/>
                <w:szCs w:val="24"/>
                <w:u w:val="none"/>
                <w:lang w:eastAsia="zh-CN"/>
              </w:rPr>
              <w:t>备注</w:t>
            </w:r>
          </w:p>
        </w:tc>
      </w:tr>
      <w:tr w14:paraId="5AAC56E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058" w:type="pct"/>
            <w:tcBorders>
              <w:tl2br w:val="nil"/>
              <w:tr2bl w:val="nil"/>
            </w:tcBorders>
            <w:shd w:val="clear" w:color="auto" w:fill="auto"/>
            <w:vAlign w:val="center"/>
          </w:tcPr>
          <w:p w14:paraId="5918E9DD">
            <w:pPr>
              <w:spacing w:line="240" w:lineRule="auto"/>
              <w:jc w:val="center"/>
              <w:rPr>
                <w:rFonts w:hint="default" w:ascii="Times New Roman" w:hAnsi="Times New Roman" w:eastAsia="宋体" w:cs="Times New Roman"/>
                <w:snapToGrid w:val="0"/>
                <w:color w:val="auto"/>
                <w:sz w:val="24"/>
                <w:szCs w:val="24"/>
                <w:lang w:eastAsia="zh-CN"/>
              </w:rPr>
            </w:pPr>
            <w:r>
              <w:rPr>
                <w:rFonts w:hint="eastAsia" w:ascii="Times New Roman" w:hAnsi="Times New Roman" w:eastAsia="宋体" w:cs="Times New Roman"/>
                <w:snapToGrid w:val="0"/>
                <w:color w:val="auto"/>
                <w:sz w:val="24"/>
                <w:szCs w:val="24"/>
                <w:lang w:eastAsia="zh-CN"/>
              </w:rPr>
              <w:t>监管能力建设</w:t>
            </w:r>
          </w:p>
        </w:tc>
        <w:tc>
          <w:tcPr>
            <w:tcW w:w="2995" w:type="pct"/>
            <w:tcBorders>
              <w:tl2br w:val="nil"/>
              <w:tr2bl w:val="nil"/>
            </w:tcBorders>
            <w:shd w:val="clear" w:color="auto" w:fill="auto"/>
            <w:vAlign w:val="center"/>
          </w:tcPr>
          <w:p w14:paraId="36D08371">
            <w:pPr>
              <w:spacing w:line="240" w:lineRule="auto"/>
              <w:jc w:val="center"/>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lang w:val="en-US" w:eastAsia="zh-CN"/>
              </w:rPr>
              <w:t>全省监管人员能力提升培训</w:t>
            </w:r>
          </w:p>
        </w:tc>
        <w:tc>
          <w:tcPr>
            <w:tcW w:w="946" w:type="pct"/>
            <w:tcBorders>
              <w:tl2br w:val="nil"/>
              <w:tr2bl w:val="nil"/>
            </w:tcBorders>
            <w:shd w:val="clear" w:color="auto" w:fill="auto"/>
            <w:vAlign w:val="center"/>
          </w:tcPr>
          <w:p w14:paraId="6DC50F57">
            <w:pPr>
              <w:spacing w:line="240" w:lineRule="auto"/>
              <w:jc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1次/年</w:t>
            </w:r>
          </w:p>
        </w:tc>
      </w:tr>
      <w:tr w14:paraId="26BF545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058" w:type="pct"/>
            <w:vMerge w:val="restart"/>
            <w:tcBorders>
              <w:tl2br w:val="nil"/>
              <w:tr2bl w:val="nil"/>
            </w:tcBorders>
            <w:shd w:val="clear" w:color="auto" w:fill="auto"/>
            <w:vAlign w:val="center"/>
          </w:tcPr>
          <w:p w14:paraId="7C37F08E">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lang w:eastAsia="zh-CN"/>
              </w:rPr>
            </w:pPr>
            <w:r>
              <w:rPr>
                <w:rFonts w:hint="eastAsia" w:ascii="Times New Roman" w:hAnsi="Times New Roman" w:eastAsia="宋体" w:cs="Times New Roman"/>
                <w:i w:val="0"/>
                <w:iCs w:val="0"/>
                <w:color w:val="auto"/>
                <w:sz w:val="24"/>
                <w:szCs w:val="24"/>
                <w:u w:val="none"/>
                <w:lang w:eastAsia="zh-CN"/>
              </w:rPr>
              <w:t>宣传教育能力建设</w:t>
            </w:r>
          </w:p>
        </w:tc>
        <w:tc>
          <w:tcPr>
            <w:tcW w:w="2995" w:type="pct"/>
            <w:tcBorders>
              <w:tl2br w:val="nil"/>
              <w:tr2bl w:val="nil"/>
            </w:tcBorders>
            <w:shd w:val="clear" w:color="auto" w:fill="auto"/>
            <w:vAlign w:val="center"/>
          </w:tcPr>
          <w:p w14:paraId="1DDE69E7">
            <w:pPr>
              <w:spacing w:line="240" w:lineRule="auto"/>
              <w:jc w:val="center"/>
              <w:rPr>
                <w:rFonts w:hint="default" w:ascii="Times New Roman" w:hAnsi="Times New Roman" w:eastAsia="宋体" w:cs="Times New Roman"/>
                <w:snapToGrid w:val="0"/>
                <w:color w:val="auto"/>
                <w:sz w:val="24"/>
                <w:szCs w:val="24"/>
                <w:lang w:eastAsia="zh-CN"/>
              </w:rPr>
            </w:pPr>
            <w:r>
              <w:rPr>
                <w:rFonts w:hint="eastAsia" w:ascii="Times New Roman" w:hAnsi="Times New Roman" w:eastAsia="宋体" w:cs="Times New Roman"/>
                <w:snapToGrid w:val="0"/>
                <w:color w:val="auto"/>
                <w:sz w:val="24"/>
                <w:szCs w:val="24"/>
                <w:lang w:eastAsia="zh-CN"/>
              </w:rPr>
              <w:t>水土保持法律法规宣传</w:t>
            </w:r>
          </w:p>
        </w:tc>
        <w:tc>
          <w:tcPr>
            <w:tcW w:w="946" w:type="pct"/>
            <w:tcBorders>
              <w:tl2br w:val="nil"/>
              <w:tr2bl w:val="nil"/>
            </w:tcBorders>
            <w:shd w:val="clear" w:color="auto" w:fill="auto"/>
            <w:vAlign w:val="center"/>
          </w:tcPr>
          <w:p w14:paraId="423263C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sz w:val="24"/>
                <w:szCs w:val="24"/>
                <w:u w:val="none"/>
                <w:lang w:val="en-US" w:eastAsia="zh-CN"/>
              </w:rPr>
              <w:t>1</w:t>
            </w:r>
            <w:r>
              <w:rPr>
                <w:rFonts w:hint="default" w:ascii="Times New Roman" w:hAnsi="Times New Roman" w:eastAsia="宋体" w:cs="Times New Roman"/>
                <w:i w:val="0"/>
                <w:iCs w:val="0"/>
                <w:color w:val="auto"/>
                <w:sz w:val="24"/>
                <w:szCs w:val="24"/>
                <w:u w:val="none"/>
                <w:lang w:val="en-US" w:eastAsia="zh-CN"/>
              </w:rPr>
              <w:t>～</w:t>
            </w:r>
            <w:r>
              <w:rPr>
                <w:rFonts w:hint="eastAsia" w:ascii="Times New Roman" w:hAnsi="Times New Roman" w:eastAsia="宋体" w:cs="Times New Roman"/>
                <w:i w:val="0"/>
                <w:iCs w:val="0"/>
                <w:color w:val="auto"/>
                <w:sz w:val="24"/>
                <w:szCs w:val="24"/>
                <w:u w:val="none"/>
                <w:lang w:val="en-US" w:eastAsia="zh-CN"/>
              </w:rPr>
              <w:t>2</w:t>
            </w:r>
            <w:r>
              <w:rPr>
                <w:rFonts w:hint="default" w:ascii="Times New Roman" w:hAnsi="Times New Roman" w:eastAsia="宋体" w:cs="Times New Roman"/>
                <w:i w:val="0"/>
                <w:iCs w:val="0"/>
                <w:color w:val="auto"/>
                <w:sz w:val="24"/>
                <w:szCs w:val="24"/>
                <w:u w:val="none"/>
                <w:lang w:val="en-US" w:eastAsia="zh-CN"/>
              </w:rPr>
              <w:t>次/年</w:t>
            </w:r>
          </w:p>
        </w:tc>
      </w:tr>
      <w:tr w14:paraId="4FA3B45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058" w:type="pct"/>
            <w:vMerge w:val="continue"/>
            <w:tcBorders>
              <w:bottom w:val="single" w:color="000000" w:sz="12" w:space="0"/>
            </w:tcBorders>
            <w:shd w:val="clear" w:color="auto" w:fill="auto"/>
            <w:vAlign w:val="center"/>
          </w:tcPr>
          <w:p w14:paraId="63A50355">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24"/>
                <w:szCs w:val="24"/>
                <w:u w:val="none"/>
              </w:rPr>
            </w:pPr>
          </w:p>
        </w:tc>
        <w:tc>
          <w:tcPr>
            <w:tcW w:w="2995" w:type="pct"/>
            <w:tcBorders>
              <w:bottom w:val="single" w:color="000000" w:sz="12" w:space="0"/>
            </w:tcBorders>
            <w:shd w:val="clear" w:color="auto" w:fill="auto"/>
            <w:vAlign w:val="center"/>
          </w:tcPr>
          <w:p w14:paraId="370568BC">
            <w:pPr>
              <w:spacing w:line="240" w:lineRule="auto"/>
              <w:jc w:val="center"/>
              <w:rPr>
                <w:rFonts w:hint="default" w:ascii="Times New Roman" w:hAnsi="Times New Roman" w:eastAsia="宋体" w:cs="Times New Roman"/>
                <w:snapToGrid w:val="0"/>
                <w:color w:val="auto"/>
                <w:sz w:val="24"/>
                <w:szCs w:val="24"/>
                <w:lang w:eastAsia="zh-CN"/>
              </w:rPr>
            </w:pPr>
            <w:r>
              <w:rPr>
                <w:rFonts w:hint="eastAsia" w:ascii="Times New Roman" w:hAnsi="Times New Roman" w:eastAsia="宋体" w:cs="Times New Roman"/>
                <w:snapToGrid w:val="0"/>
                <w:color w:val="auto"/>
                <w:sz w:val="24"/>
                <w:szCs w:val="24"/>
                <w:lang w:eastAsia="zh-CN"/>
              </w:rPr>
              <w:t>水土保持治理成效及监管效能宣传</w:t>
            </w:r>
          </w:p>
        </w:tc>
        <w:tc>
          <w:tcPr>
            <w:tcW w:w="946" w:type="pct"/>
            <w:tcBorders>
              <w:bottom w:val="single" w:color="000000" w:sz="12" w:space="0"/>
            </w:tcBorders>
            <w:shd w:val="clear" w:color="auto" w:fill="auto"/>
            <w:vAlign w:val="center"/>
          </w:tcPr>
          <w:p w14:paraId="623603F8">
            <w:pPr>
              <w:keepNext w:val="0"/>
              <w:keepLines w:val="0"/>
              <w:widowControl/>
              <w:suppressLineNumbers w:val="0"/>
              <w:spacing w:line="240" w:lineRule="auto"/>
              <w:jc w:val="center"/>
              <w:textAlignment w:val="center"/>
              <w:rPr>
                <w:rFonts w:hint="eastAsia" w:ascii="Times New Roman" w:hAnsi="Times New Roman" w:eastAsia="宋体" w:cs="Times New Roman"/>
                <w:snapToGrid w:val="0"/>
                <w:color w:val="auto"/>
                <w:sz w:val="24"/>
                <w:szCs w:val="24"/>
                <w:lang w:eastAsia="zh-CN"/>
              </w:rPr>
            </w:pPr>
            <w:r>
              <w:rPr>
                <w:rFonts w:hint="eastAsia" w:ascii="Times New Roman" w:hAnsi="Times New Roman" w:eastAsia="宋体" w:cs="Times New Roman"/>
                <w:i w:val="0"/>
                <w:iCs w:val="0"/>
                <w:color w:val="auto"/>
                <w:sz w:val="24"/>
                <w:szCs w:val="24"/>
                <w:u w:val="none"/>
                <w:lang w:val="en-US" w:eastAsia="zh-CN"/>
              </w:rPr>
              <w:t>3</w:t>
            </w:r>
            <w:r>
              <w:rPr>
                <w:rFonts w:hint="default" w:ascii="Times New Roman" w:hAnsi="Times New Roman" w:eastAsia="宋体" w:cs="Times New Roman"/>
                <w:i w:val="0"/>
                <w:iCs w:val="0"/>
                <w:color w:val="auto"/>
                <w:sz w:val="24"/>
                <w:szCs w:val="24"/>
                <w:u w:val="none"/>
                <w:lang w:val="en-US" w:eastAsia="zh-CN"/>
              </w:rPr>
              <w:t>～</w:t>
            </w:r>
            <w:r>
              <w:rPr>
                <w:rFonts w:hint="eastAsia" w:ascii="Times New Roman" w:hAnsi="Times New Roman" w:eastAsia="宋体" w:cs="Times New Roman"/>
                <w:i w:val="0"/>
                <w:iCs w:val="0"/>
                <w:color w:val="auto"/>
                <w:sz w:val="24"/>
                <w:szCs w:val="24"/>
                <w:u w:val="none"/>
                <w:lang w:val="en-US" w:eastAsia="zh-CN"/>
              </w:rPr>
              <w:t>5</w:t>
            </w:r>
            <w:r>
              <w:rPr>
                <w:rFonts w:hint="default" w:ascii="Times New Roman" w:hAnsi="Times New Roman" w:eastAsia="宋体" w:cs="Times New Roman"/>
                <w:i w:val="0"/>
                <w:iCs w:val="0"/>
                <w:color w:val="auto"/>
                <w:sz w:val="24"/>
                <w:szCs w:val="24"/>
                <w:u w:val="none"/>
                <w:lang w:val="en-US" w:eastAsia="zh-CN"/>
              </w:rPr>
              <w:t>次/年</w:t>
            </w:r>
          </w:p>
        </w:tc>
      </w:tr>
    </w:tbl>
    <w:p w14:paraId="71D57608">
      <w:pPr>
        <w:pStyle w:val="18"/>
        <w:rPr>
          <w:rFonts w:hint="default"/>
          <w:color w:val="auto"/>
        </w:rPr>
      </w:pPr>
    </w:p>
    <w:p w14:paraId="1F5B36ED">
      <w:pPr>
        <w:pStyle w:val="12"/>
        <w:rPr>
          <w:rFonts w:hint="default"/>
          <w:color w:val="auto"/>
        </w:rPr>
      </w:pPr>
    </w:p>
    <w:p w14:paraId="4D931319">
      <w:pPr>
        <w:pStyle w:val="12"/>
        <w:rPr>
          <w:rFonts w:hint="default" w:ascii="Times New Roman" w:hAnsi="Times New Roman" w:eastAsia="宋体" w:cs="Times New Roman"/>
          <w:snapToGrid w:val="0"/>
          <w:color w:val="auto"/>
          <w:sz w:val="28"/>
          <w:szCs w:val="28"/>
        </w:rPr>
        <w:sectPr>
          <w:headerReference r:id="rId22" w:type="default"/>
          <w:footnotePr>
            <w:numFmt w:val="decimal"/>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1410BB0">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256" w:name="_Toc11998"/>
      <w:bookmarkStart w:id="257" w:name="_Toc19783"/>
      <w:bookmarkStart w:id="258" w:name="_Toc23322"/>
      <w:bookmarkStart w:id="259" w:name="_Toc6136"/>
      <w:bookmarkStart w:id="260" w:name="_Toc997"/>
      <w:r>
        <w:rPr>
          <w:rFonts w:hint="eastAsia" w:ascii="方正小标宋_GBK" w:hAnsi="Times New Roman" w:eastAsia="方正小标宋_GBK" w:cs="Times New Roman"/>
          <w:b/>
          <w:bCs w:val="0"/>
          <w:color w:val="auto"/>
          <w:kern w:val="44"/>
          <w:sz w:val="36"/>
          <w:szCs w:val="36"/>
          <w:lang w:val="en-US" w:eastAsia="zh-CN" w:bidi="ar-SA"/>
        </w:rPr>
        <w:t>第十章 投资匡算</w:t>
      </w:r>
      <w:bookmarkEnd w:id="256"/>
      <w:bookmarkEnd w:id="257"/>
      <w:bookmarkEnd w:id="258"/>
      <w:bookmarkEnd w:id="259"/>
      <w:bookmarkEnd w:id="260"/>
    </w:p>
    <w:p w14:paraId="30040A76">
      <w:pPr>
        <w:pStyle w:val="7"/>
        <w:bidi w:val="0"/>
        <w:rPr>
          <w:rFonts w:hint="default" w:ascii="黑体" w:hAnsi="黑体" w:eastAsia="黑体" w:cs="黑体"/>
          <w:color w:val="auto"/>
          <w:sz w:val="28"/>
          <w:szCs w:val="28"/>
          <w:lang w:val="en-US" w:eastAsia="zh-CN"/>
        </w:rPr>
      </w:pPr>
      <w:bookmarkStart w:id="261" w:name="_Toc4775"/>
      <w:bookmarkStart w:id="262" w:name="_Toc19919"/>
      <w:bookmarkStart w:id="263" w:name="_Toc13366"/>
      <w:bookmarkStart w:id="264" w:name="_Toc7379"/>
      <w:bookmarkStart w:id="265" w:name="_Toc3364"/>
      <w:r>
        <w:rPr>
          <w:rFonts w:hint="eastAsia" w:ascii="黑体" w:hAnsi="黑体" w:eastAsia="黑体" w:cs="黑体"/>
          <w:color w:val="auto"/>
          <w:sz w:val="28"/>
          <w:szCs w:val="28"/>
          <w:lang w:val="en-US" w:eastAsia="zh-CN"/>
        </w:rPr>
        <w:t>一、投资匡算</w:t>
      </w:r>
      <w:bookmarkEnd w:id="261"/>
      <w:bookmarkEnd w:id="262"/>
      <w:bookmarkEnd w:id="263"/>
      <w:bookmarkEnd w:id="264"/>
      <w:bookmarkEnd w:id="265"/>
    </w:p>
    <w:p w14:paraId="660BA65F">
      <w:pPr>
        <w:ind w:firstLine="700" w:firstLineChars="250"/>
        <w:rPr>
          <w:rFonts w:hint="eastAsia" w:ascii="Times New Roman" w:hAnsi="Times New Roman" w:eastAsia="宋体" w:cs="Times New Roman"/>
          <w:snapToGrid w:val="0"/>
          <w:color w:val="auto"/>
          <w:sz w:val="28"/>
          <w:szCs w:val="28"/>
        </w:rPr>
      </w:pPr>
      <w:r>
        <w:rPr>
          <w:rFonts w:hint="eastAsia" w:ascii="Times New Roman" w:hAnsi="Times New Roman" w:eastAsia="宋体" w:cs="Times New Roman"/>
          <w:snapToGrid w:val="0"/>
          <w:color w:val="auto"/>
          <w:sz w:val="28"/>
          <w:szCs w:val="28"/>
        </w:rPr>
        <w:t>根据</w:t>
      </w:r>
      <w:r>
        <w:rPr>
          <w:rFonts w:hint="eastAsia" w:ascii="Times New Roman" w:hAnsi="Times New Roman" w:eastAsia="宋体" w:cs="Times New Roman"/>
          <w:snapToGrid w:val="0"/>
          <w:color w:val="auto"/>
          <w:sz w:val="28"/>
          <w:szCs w:val="28"/>
          <w:lang w:val="en-US" w:eastAsia="zh-CN"/>
        </w:rPr>
        <w:t>贵州省</w:t>
      </w:r>
      <w:r>
        <w:rPr>
          <w:rFonts w:hint="eastAsia" w:ascii="Times New Roman" w:hAnsi="Times New Roman" w:eastAsia="宋体" w:cs="Times New Roman"/>
          <w:snapToGrid w:val="0"/>
          <w:color w:val="auto"/>
          <w:sz w:val="28"/>
          <w:szCs w:val="28"/>
        </w:rPr>
        <w:t>水土保持</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十四五</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规划任务</w:t>
      </w:r>
      <w:r>
        <w:rPr>
          <w:rFonts w:hint="eastAsia" w:ascii="Times New Roman" w:hAnsi="Times New Roman" w:eastAsia="宋体" w:cs="Times New Roman"/>
          <w:snapToGrid w:val="0"/>
          <w:color w:val="auto"/>
          <w:sz w:val="28"/>
          <w:szCs w:val="28"/>
          <w:lang w:eastAsia="zh-CN"/>
        </w:rPr>
        <w:t>，</w:t>
      </w:r>
      <w:r>
        <w:rPr>
          <w:rFonts w:hint="eastAsia" w:ascii="Times New Roman" w:hAnsi="Times New Roman" w:eastAsia="宋体" w:cs="Times New Roman"/>
          <w:snapToGrid w:val="0"/>
          <w:color w:val="auto"/>
          <w:sz w:val="28"/>
          <w:szCs w:val="28"/>
          <w:lang w:val="en-US" w:eastAsia="zh-CN"/>
        </w:rPr>
        <w:t>结合各部门有关规划投资、同类项目历年治理标准</w:t>
      </w:r>
      <w:r>
        <w:rPr>
          <w:rFonts w:hint="eastAsia" w:ascii="Times New Roman" w:hAnsi="Times New Roman" w:eastAsia="宋体" w:cs="Times New Roman"/>
          <w:snapToGrid w:val="0"/>
          <w:color w:val="auto"/>
          <w:sz w:val="28"/>
          <w:szCs w:val="28"/>
        </w:rPr>
        <w:t>等方式匡算</w:t>
      </w:r>
      <w:r>
        <w:rPr>
          <w:rFonts w:hint="eastAsia" w:ascii="Times New Roman" w:hAnsi="Times New Roman" w:eastAsia="宋体" w:cs="Times New Roman"/>
          <w:snapToGrid w:val="0"/>
          <w:color w:val="auto"/>
          <w:sz w:val="28"/>
          <w:szCs w:val="28"/>
          <w:lang w:val="en-US" w:eastAsia="zh-CN"/>
        </w:rPr>
        <w:t>水土流失治理项目</w:t>
      </w:r>
      <w:r>
        <w:rPr>
          <w:rFonts w:hint="eastAsia" w:ascii="Times New Roman" w:hAnsi="Times New Roman" w:eastAsia="宋体" w:cs="Times New Roman"/>
          <w:snapToGrid w:val="0"/>
          <w:color w:val="auto"/>
          <w:sz w:val="28"/>
          <w:szCs w:val="28"/>
        </w:rPr>
        <w:t>投资。监督管理、监测、信息化及</w:t>
      </w:r>
      <w:r>
        <w:rPr>
          <w:rFonts w:hint="eastAsia" w:ascii="Times New Roman" w:hAnsi="Times New Roman" w:eastAsia="宋体" w:cs="Times New Roman"/>
          <w:snapToGrid w:val="0"/>
          <w:color w:val="auto"/>
          <w:sz w:val="28"/>
          <w:szCs w:val="28"/>
          <w:lang w:val="en-US" w:eastAsia="zh-CN"/>
        </w:rPr>
        <w:t>科技</w:t>
      </w:r>
      <w:r>
        <w:rPr>
          <w:rFonts w:hint="eastAsia" w:ascii="Times New Roman" w:hAnsi="Times New Roman" w:eastAsia="宋体" w:cs="Times New Roman"/>
          <w:snapToGrid w:val="0"/>
          <w:color w:val="auto"/>
          <w:sz w:val="28"/>
          <w:szCs w:val="28"/>
        </w:rPr>
        <w:t>支撑项目结合已开展的全省水土保持监测网络和信息系统建设工程、全省水土流失调查、全省水土流失动态监测与公告等项目，匡算各项任务的综合投资。</w:t>
      </w:r>
    </w:p>
    <w:p w14:paraId="34406F8C">
      <w:pPr>
        <w:ind w:firstLine="700" w:firstLineChars="250"/>
        <w:rPr>
          <w:rFonts w:hint="eastAsia" w:ascii="Times New Roman" w:hAnsi="Times New Roman" w:eastAsia="宋体" w:cs="Times New Roman"/>
          <w:snapToGrid w:val="0"/>
          <w:color w:val="auto"/>
          <w:sz w:val="28"/>
          <w:szCs w:val="28"/>
        </w:rPr>
      </w:pPr>
      <w:r>
        <w:rPr>
          <w:rFonts w:hint="eastAsia" w:ascii="Times New Roman" w:hAnsi="Times New Roman" w:eastAsia="宋体" w:cs="Times New Roman"/>
          <w:snapToGrid w:val="0"/>
          <w:color w:val="auto"/>
          <w:sz w:val="28"/>
          <w:szCs w:val="28"/>
        </w:rPr>
        <w:t>规划总投资</w:t>
      </w:r>
      <w:r>
        <w:rPr>
          <w:rFonts w:hint="eastAsia" w:ascii="Times New Roman" w:hAnsi="Times New Roman" w:eastAsia="宋体" w:cs="Times New Roman"/>
          <w:snapToGrid w:val="0"/>
          <w:color w:val="auto"/>
          <w:sz w:val="28"/>
          <w:szCs w:val="28"/>
          <w:lang w:val="en-US" w:eastAsia="zh-CN"/>
        </w:rPr>
        <w:t>2415797万</w:t>
      </w:r>
      <w:r>
        <w:rPr>
          <w:rFonts w:hint="eastAsia" w:ascii="Times New Roman" w:hAnsi="Times New Roman" w:eastAsia="宋体" w:cs="Times New Roman"/>
          <w:snapToGrid w:val="0"/>
          <w:color w:val="auto"/>
          <w:sz w:val="28"/>
          <w:szCs w:val="28"/>
        </w:rPr>
        <w:t>元，其中</w:t>
      </w:r>
      <w:r>
        <w:rPr>
          <w:rFonts w:hint="eastAsia" w:ascii="Times New Roman" w:hAnsi="Times New Roman" w:eastAsia="宋体" w:cs="Times New Roman"/>
          <w:snapToGrid w:val="0"/>
          <w:color w:val="auto"/>
          <w:sz w:val="28"/>
          <w:szCs w:val="28"/>
          <w:lang w:val="en-US" w:eastAsia="zh-CN"/>
        </w:rPr>
        <w:t>水土流失治理项目</w:t>
      </w:r>
      <w:r>
        <w:rPr>
          <w:rFonts w:hint="default" w:ascii="Times New Roman" w:hAnsi="Times New Roman" w:eastAsia="宋体" w:cs="Times New Roman"/>
          <w:snapToGrid w:val="0"/>
          <w:color w:val="auto"/>
          <w:sz w:val="28"/>
          <w:szCs w:val="28"/>
        </w:rPr>
        <w:t>投资</w:t>
      </w:r>
      <w:r>
        <w:rPr>
          <w:rFonts w:hint="eastAsia" w:ascii="Times New Roman" w:hAnsi="Times New Roman" w:eastAsia="宋体" w:cs="Times New Roman"/>
          <w:snapToGrid w:val="0"/>
          <w:color w:val="auto"/>
          <w:sz w:val="28"/>
          <w:szCs w:val="28"/>
          <w:lang w:val="en-US" w:eastAsia="zh-CN"/>
        </w:rPr>
        <w:t>2393502万元</w:t>
      </w:r>
      <w:r>
        <w:rPr>
          <w:rFonts w:hint="eastAsia" w:ascii="Times New Roman" w:hAnsi="Times New Roman" w:eastAsia="宋体" w:cs="Times New Roman"/>
          <w:snapToGrid w:val="0"/>
          <w:color w:val="auto"/>
          <w:sz w:val="28"/>
          <w:szCs w:val="28"/>
          <w:lang w:eastAsia="zh-CN"/>
        </w:rPr>
        <w:t>，“十四五”期间水土保持有关规划编制</w:t>
      </w:r>
      <w:r>
        <w:rPr>
          <w:rFonts w:hint="eastAsia" w:ascii="Times New Roman" w:hAnsi="Times New Roman" w:eastAsia="宋体" w:cs="Times New Roman"/>
          <w:snapToGrid w:val="0"/>
          <w:color w:val="auto"/>
          <w:sz w:val="28"/>
          <w:szCs w:val="28"/>
          <w:lang w:val="en-US" w:eastAsia="zh-CN"/>
        </w:rPr>
        <w:t>费300万元，监督管理4225万元，水土保持监测6360万元，信息化建设740万元，科技支撑和能力建设10670万元</w:t>
      </w:r>
      <w:r>
        <w:rPr>
          <w:rFonts w:hint="default" w:ascii="Times New Roman" w:hAnsi="Times New Roman" w:eastAsia="宋体" w:cs="Times New Roman"/>
          <w:snapToGrid w:val="0"/>
          <w:color w:val="auto"/>
          <w:sz w:val="28"/>
          <w:szCs w:val="28"/>
        </w:rPr>
        <w:t>。</w:t>
      </w:r>
      <w:r>
        <w:rPr>
          <w:rFonts w:hint="eastAsia" w:ascii="Times New Roman" w:hAnsi="Times New Roman" w:eastAsia="宋体" w:cs="Times New Roman"/>
          <w:snapToGrid w:val="0"/>
          <w:color w:val="auto"/>
          <w:sz w:val="28"/>
          <w:szCs w:val="28"/>
        </w:rPr>
        <w:t>项目投资汇总详见表</w:t>
      </w:r>
      <w:r>
        <w:rPr>
          <w:rFonts w:hint="eastAsia" w:ascii="Times New Roman" w:hAnsi="Times New Roman" w:eastAsia="宋体" w:cs="Times New Roman"/>
          <w:snapToGrid w:val="0"/>
          <w:color w:val="auto"/>
          <w:sz w:val="28"/>
          <w:szCs w:val="28"/>
          <w:lang w:val="en-US" w:eastAsia="zh-CN"/>
        </w:rPr>
        <w:t>9</w:t>
      </w:r>
      <w:r>
        <w:rPr>
          <w:rFonts w:hint="eastAsia" w:ascii="Times New Roman" w:hAnsi="Times New Roman" w:eastAsia="宋体" w:cs="Times New Roman"/>
          <w:snapToGrid w:val="0"/>
          <w:color w:val="auto"/>
          <w:sz w:val="28"/>
          <w:szCs w:val="28"/>
        </w:rPr>
        <w:t>-1。</w:t>
      </w:r>
    </w:p>
    <w:p w14:paraId="1884AAFD">
      <w:pPr>
        <w:pStyle w:val="18"/>
        <w:rPr>
          <w:rFonts w:hint="eastAsia"/>
          <w:color w:val="auto"/>
        </w:rPr>
      </w:pPr>
    </w:p>
    <w:p w14:paraId="2D15915F">
      <w:pPr>
        <w:pStyle w:val="18"/>
        <w:rPr>
          <w:rFonts w:hint="eastAsia" w:ascii="Times New Roman" w:hAnsi="Times New Roman" w:eastAsia="宋体" w:cs="Times New Roman"/>
          <w:snapToGrid w:val="0"/>
          <w:color w:val="auto"/>
          <w:sz w:val="28"/>
          <w:szCs w:val="28"/>
        </w:rPr>
        <w:sectPr>
          <w:headerReference r:id="rId2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4DAA373">
      <w:pPr>
        <w:pStyle w:val="18"/>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eastAsia"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eastAsia="zh-CN"/>
        </w:rPr>
        <w:t>表</w:t>
      </w:r>
      <w:r>
        <w:rPr>
          <w:rFonts w:hint="eastAsia" w:ascii="Times New Roman" w:hAnsi="Times New Roman" w:eastAsia="宋体" w:cs="Times New Roman"/>
          <w:b/>
          <w:bCs/>
          <w:color w:val="auto"/>
          <w:sz w:val="28"/>
          <w:szCs w:val="28"/>
          <w:lang w:val="en-US" w:eastAsia="zh-CN"/>
        </w:rPr>
        <w:t>10</w:t>
      </w:r>
      <w:r>
        <w:rPr>
          <w:rFonts w:hint="default" w:ascii="Times New Roman" w:hAnsi="Times New Roman" w:eastAsia="宋体" w:cs="Times New Roman"/>
          <w:b/>
          <w:bCs/>
          <w:color w:val="auto"/>
          <w:sz w:val="28"/>
          <w:szCs w:val="28"/>
          <w:lang w:eastAsia="zh-CN"/>
        </w:rPr>
        <w:t>-</w:t>
      </w:r>
      <w:r>
        <w:rPr>
          <w:rFonts w:hint="eastAsia" w:ascii="Times New Roman" w:hAnsi="Times New Roman" w:eastAsia="宋体" w:cs="Times New Roman"/>
          <w:b/>
          <w:bCs/>
          <w:color w:val="auto"/>
          <w:sz w:val="28"/>
          <w:szCs w:val="28"/>
          <w:lang w:val="en-US" w:eastAsia="zh-CN"/>
        </w:rPr>
        <w:t>1</w:t>
      </w:r>
      <w:r>
        <w:rPr>
          <w:rFonts w:hint="default" w:ascii="Times New Roman" w:hAnsi="Times New Roman" w:eastAsia="宋体" w:cs="Times New Roman"/>
          <w:b/>
          <w:bCs/>
          <w:color w:val="auto"/>
          <w:sz w:val="28"/>
          <w:szCs w:val="28"/>
          <w:lang w:eastAsia="zh-CN"/>
        </w:rPr>
        <w:t xml:space="preserve">  </w:t>
      </w:r>
      <w:r>
        <w:rPr>
          <w:rFonts w:hint="eastAsia"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lang w:eastAsia="zh-CN"/>
        </w:rPr>
        <w:t>水土保持“十四五”规划投资汇总</w:t>
      </w:r>
      <w:r>
        <w:rPr>
          <w:rFonts w:hint="eastAsia" w:ascii="Times New Roman" w:hAnsi="Times New Roman" w:eastAsia="宋体" w:cs="Times New Roman"/>
          <w:b/>
          <w:bCs/>
          <w:color w:val="auto"/>
          <w:sz w:val="28"/>
          <w:szCs w:val="28"/>
          <w:lang w:val="en-US" w:eastAsia="zh-CN"/>
        </w:rPr>
        <w:t>表</w:t>
      </w:r>
    </w:p>
    <w:tbl>
      <w:tblPr>
        <w:tblStyle w:val="19"/>
        <w:tblW w:w="4996"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87"/>
        <w:gridCol w:w="3750"/>
        <w:gridCol w:w="833"/>
        <w:gridCol w:w="850"/>
        <w:gridCol w:w="1867"/>
        <w:gridCol w:w="1466"/>
        <w:gridCol w:w="1233"/>
        <w:gridCol w:w="1248"/>
        <w:gridCol w:w="2030"/>
      </w:tblGrid>
      <w:tr w14:paraId="5F432F0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313" w:type="pct"/>
            <w:vMerge w:val="restart"/>
            <w:tcBorders>
              <w:tl2br w:val="nil"/>
              <w:tr2bl w:val="nil"/>
            </w:tcBorders>
            <w:shd w:val="clear" w:color="auto" w:fill="auto"/>
            <w:vAlign w:val="center"/>
          </w:tcPr>
          <w:p w14:paraId="3609AB6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 号</w:t>
            </w:r>
          </w:p>
        </w:tc>
        <w:tc>
          <w:tcPr>
            <w:tcW w:w="1323" w:type="pct"/>
            <w:vMerge w:val="restart"/>
            <w:tcBorders>
              <w:tl2br w:val="nil"/>
              <w:tr2bl w:val="nil"/>
            </w:tcBorders>
            <w:shd w:val="clear" w:color="auto" w:fill="auto"/>
            <w:vAlign w:val="center"/>
          </w:tcPr>
          <w:p w14:paraId="43A230B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项目名称</w:t>
            </w:r>
          </w:p>
        </w:tc>
        <w:tc>
          <w:tcPr>
            <w:tcW w:w="294" w:type="pct"/>
            <w:vMerge w:val="restart"/>
            <w:tcBorders>
              <w:tl2br w:val="nil"/>
              <w:tr2bl w:val="nil"/>
            </w:tcBorders>
            <w:shd w:val="clear" w:color="auto" w:fill="auto"/>
            <w:vAlign w:val="center"/>
          </w:tcPr>
          <w:p w14:paraId="4306996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单位</w:t>
            </w:r>
          </w:p>
        </w:tc>
        <w:tc>
          <w:tcPr>
            <w:tcW w:w="300" w:type="pct"/>
            <w:vMerge w:val="restart"/>
            <w:tcBorders>
              <w:tl2br w:val="nil"/>
              <w:tr2bl w:val="nil"/>
            </w:tcBorders>
            <w:shd w:val="clear" w:color="auto" w:fill="auto"/>
            <w:vAlign w:val="center"/>
          </w:tcPr>
          <w:p w14:paraId="696015E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规模</w:t>
            </w:r>
          </w:p>
        </w:tc>
        <w:tc>
          <w:tcPr>
            <w:tcW w:w="659" w:type="pct"/>
            <w:vMerge w:val="restart"/>
            <w:tcBorders>
              <w:tl2br w:val="nil"/>
              <w:tr2bl w:val="nil"/>
            </w:tcBorders>
            <w:shd w:val="clear" w:color="auto" w:fill="auto"/>
            <w:vAlign w:val="center"/>
          </w:tcPr>
          <w:p w14:paraId="16F6078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单价</w:t>
            </w:r>
          </w:p>
        </w:tc>
        <w:tc>
          <w:tcPr>
            <w:tcW w:w="1393" w:type="pct"/>
            <w:gridSpan w:val="3"/>
            <w:tcBorders>
              <w:tl2br w:val="nil"/>
              <w:tr2bl w:val="nil"/>
            </w:tcBorders>
            <w:shd w:val="clear" w:color="auto" w:fill="auto"/>
            <w:vAlign w:val="center"/>
          </w:tcPr>
          <w:p w14:paraId="6459D81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投资及资金来源（万元）</w:t>
            </w:r>
          </w:p>
        </w:tc>
        <w:tc>
          <w:tcPr>
            <w:tcW w:w="716" w:type="pct"/>
            <w:tcBorders>
              <w:tl2br w:val="nil"/>
              <w:tr2bl w:val="nil"/>
            </w:tcBorders>
            <w:shd w:val="clear" w:color="auto" w:fill="auto"/>
            <w:vAlign w:val="center"/>
          </w:tcPr>
          <w:p w14:paraId="7256E98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备注</w:t>
            </w:r>
          </w:p>
        </w:tc>
      </w:tr>
      <w:tr w14:paraId="35698D0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313" w:type="pct"/>
            <w:vMerge w:val="continue"/>
            <w:tcBorders>
              <w:tl2br w:val="nil"/>
              <w:tr2bl w:val="nil"/>
            </w:tcBorders>
            <w:shd w:val="clear" w:color="auto" w:fill="auto"/>
            <w:vAlign w:val="center"/>
          </w:tcPr>
          <w:p w14:paraId="0C1D9DC6">
            <w:pPr>
              <w:jc w:val="center"/>
              <w:rPr>
                <w:rFonts w:hint="default" w:ascii="Times New Roman" w:hAnsi="Times New Roman" w:eastAsia="宋体" w:cs="Times New Roman"/>
                <w:b/>
                <w:bCs/>
                <w:i w:val="0"/>
                <w:iCs w:val="0"/>
                <w:color w:val="auto"/>
                <w:sz w:val="21"/>
                <w:szCs w:val="21"/>
                <w:u w:val="none"/>
              </w:rPr>
            </w:pPr>
          </w:p>
        </w:tc>
        <w:tc>
          <w:tcPr>
            <w:tcW w:w="1323" w:type="pct"/>
            <w:vMerge w:val="continue"/>
            <w:tcBorders>
              <w:tl2br w:val="nil"/>
              <w:tr2bl w:val="nil"/>
            </w:tcBorders>
            <w:shd w:val="clear" w:color="auto" w:fill="auto"/>
            <w:vAlign w:val="center"/>
          </w:tcPr>
          <w:p w14:paraId="726DF1FB">
            <w:pPr>
              <w:jc w:val="center"/>
              <w:rPr>
                <w:rFonts w:hint="default" w:ascii="Times New Roman" w:hAnsi="Times New Roman" w:eastAsia="宋体" w:cs="Times New Roman"/>
                <w:b/>
                <w:bCs/>
                <w:i w:val="0"/>
                <w:iCs w:val="0"/>
                <w:color w:val="auto"/>
                <w:sz w:val="21"/>
                <w:szCs w:val="21"/>
                <w:u w:val="none"/>
              </w:rPr>
            </w:pPr>
          </w:p>
        </w:tc>
        <w:tc>
          <w:tcPr>
            <w:tcW w:w="294" w:type="pct"/>
            <w:vMerge w:val="continue"/>
            <w:tcBorders>
              <w:tl2br w:val="nil"/>
              <w:tr2bl w:val="nil"/>
            </w:tcBorders>
            <w:shd w:val="clear" w:color="auto" w:fill="auto"/>
            <w:vAlign w:val="center"/>
          </w:tcPr>
          <w:p w14:paraId="3C67FC1A">
            <w:pPr>
              <w:jc w:val="center"/>
              <w:rPr>
                <w:rFonts w:hint="default" w:ascii="Times New Roman" w:hAnsi="Times New Roman" w:eastAsia="宋体" w:cs="Times New Roman"/>
                <w:b/>
                <w:bCs/>
                <w:i w:val="0"/>
                <w:iCs w:val="0"/>
                <w:color w:val="auto"/>
                <w:sz w:val="21"/>
                <w:szCs w:val="21"/>
                <w:u w:val="none"/>
              </w:rPr>
            </w:pPr>
          </w:p>
        </w:tc>
        <w:tc>
          <w:tcPr>
            <w:tcW w:w="300" w:type="pct"/>
            <w:vMerge w:val="continue"/>
            <w:tcBorders>
              <w:tl2br w:val="nil"/>
              <w:tr2bl w:val="nil"/>
            </w:tcBorders>
            <w:shd w:val="clear" w:color="auto" w:fill="auto"/>
            <w:vAlign w:val="center"/>
          </w:tcPr>
          <w:p w14:paraId="0DF26DA6">
            <w:pPr>
              <w:jc w:val="center"/>
              <w:rPr>
                <w:rFonts w:hint="default" w:ascii="Times New Roman" w:hAnsi="Times New Roman" w:eastAsia="宋体" w:cs="Times New Roman"/>
                <w:b/>
                <w:bCs/>
                <w:i w:val="0"/>
                <w:iCs w:val="0"/>
                <w:color w:val="auto"/>
                <w:sz w:val="21"/>
                <w:szCs w:val="21"/>
                <w:u w:val="none"/>
              </w:rPr>
            </w:pPr>
          </w:p>
        </w:tc>
        <w:tc>
          <w:tcPr>
            <w:tcW w:w="659" w:type="pct"/>
            <w:vMerge w:val="continue"/>
            <w:tcBorders>
              <w:tl2br w:val="nil"/>
              <w:tr2bl w:val="nil"/>
            </w:tcBorders>
            <w:shd w:val="clear" w:color="auto" w:fill="auto"/>
            <w:vAlign w:val="center"/>
          </w:tcPr>
          <w:p w14:paraId="00E3A503">
            <w:pPr>
              <w:jc w:val="cente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14:paraId="486C5C2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概算总投资</w:t>
            </w:r>
          </w:p>
        </w:tc>
        <w:tc>
          <w:tcPr>
            <w:tcW w:w="435" w:type="pct"/>
            <w:tcBorders>
              <w:tl2br w:val="nil"/>
              <w:tr2bl w:val="nil"/>
            </w:tcBorders>
            <w:shd w:val="clear" w:color="auto" w:fill="auto"/>
            <w:vAlign w:val="center"/>
          </w:tcPr>
          <w:p w14:paraId="0A1AD01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中央资金</w:t>
            </w:r>
          </w:p>
        </w:tc>
        <w:tc>
          <w:tcPr>
            <w:tcW w:w="440" w:type="pct"/>
            <w:tcBorders>
              <w:tl2br w:val="nil"/>
              <w:tr2bl w:val="nil"/>
            </w:tcBorders>
            <w:shd w:val="clear" w:color="auto" w:fill="auto"/>
            <w:vAlign w:val="center"/>
          </w:tcPr>
          <w:p w14:paraId="3FC01CD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地方资金</w:t>
            </w:r>
          </w:p>
        </w:tc>
        <w:tc>
          <w:tcPr>
            <w:tcW w:w="716" w:type="pct"/>
            <w:tcBorders>
              <w:tl2br w:val="nil"/>
              <w:tr2bl w:val="nil"/>
            </w:tcBorders>
            <w:shd w:val="clear" w:color="auto" w:fill="auto"/>
            <w:vAlign w:val="center"/>
          </w:tcPr>
          <w:p w14:paraId="502B4849">
            <w:pPr>
              <w:jc w:val="center"/>
              <w:rPr>
                <w:rFonts w:hint="default" w:ascii="Times New Roman" w:hAnsi="Times New Roman" w:eastAsia="宋体" w:cs="Times New Roman"/>
                <w:b/>
                <w:bCs/>
                <w:i w:val="0"/>
                <w:iCs w:val="0"/>
                <w:color w:val="auto"/>
                <w:sz w:val="21"/>
                <w:szCs w:val="21"/>
                <w:u w:val="none"/>
              </w:rPr>
            </w:pPr>
          </w:p>
        </w:tc>
      </w:tr>
      <w:tr w14:paraId="21380C7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782DFDA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一</w:t>
            </w:r>
          </w:p>
        </w:tc>
        <w:tc>
          <w:tcPr>
            <w:tcW w:w="1323" w:type="pct"/>
            <w:tcBorders>
              <w:tl2br w:val="nil"/>
              <w:tr2bl w:val="nil"/>
            </w:tcBorders>
            <w:shd w:val="clear" w:color="auto" w:fill="auto"/>
            <w:vAlign w:val="center"/>
          </w:tcPr>
          <w:p w14:paraId="645CE63A">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水土流失治理项目</w:t>
            </w:r>
          </w:p>
        </w:tc>
        <w:tc>
          <w:tcPr>
            <w:tcW w:w="294" w:type="pct"/>
            <w:tcBorders>
              <w:tl2br w:val="nil"/>
              <w:tr2bl w:val="nil"/>
            </w:tcBorders>
            <w:shd w:val="clear" w:color="auto" w:fill="auto"/>
            <w:vAlign w:val="center"/>
          </w:tcPr>
          <w:p w14:paraId="71AB8D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14:paraId="602084CF">
            <w:pPr>
              <w:rPr>
                <w:rFonts w:hint="default" w:ascii="Times New Roman" w:hAnsi="Times New Roman" w:eastAsia="宋体" w:cs="Times New Roman"/>
                <w:b/>
                <w:bCs/>
                <w:i w:val="0"/>
                <w:iCs w:val="0"/>
                <w:color w:val="auto"/>
                <w:sz w:val="21"/>
                <w:szCs w:val="21"/>
                <w:u w:val="none"/>
              </w:rPr>
            </w:pPr>
          </w:p>
        </w:tc>
        <w:tc>
          <w:tcPr>
            <w:tcW w:w="659" w:type="pct"/>
            <w:tcBorders>
              <w:tl2br w:val="nil"/>
              <w:tr2bl w:val="nil"/>
            </w:tcBorders>
            <w:shd w:val="clear" w:color="auto" w:fill="auto"/>
            <w:vAlign w:val="center"/>
          </w:tcPr>
          <w:p w14:paraId="13CB9194">
            <w:pP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14:paraId="76754BC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2393502 </w:t>
            </w:r>
          </w:p>
        </w:tc>
        <w:tc>
          <w:tcPr>
            <w:tcW w:w="435" w:type="pct"/>
            <w:tcBorders>
              <w:tl2br w:val="nil"/>
              <w:tr2bl w:val="nil"/>
            </w:tcBorders>
            <w:shd w:val="clear" w:color="auto" w:fill="auto"/>
            <w:vAlign w:val="center"/>
          </w:tcPr>
          <w:p w14:paraId="08C2BB0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1369065 </w:t>
            </w:r>
          </w:p>
        </w:tc>
        <w:tc>
          <w:tcPr>
            <w:tcW w:w="440" w:type="pct"/>
            <w:tcBorders>
              <w:tl2br w:val="nil"/>
              <w:tr2bl w:val="nil"/>
            </w:tcBorders>
            <w:shd w:val="clear" w:color="auto" w:fill="auto"/>
            <w:vAlign w:val="center"/>
          </w:tcPr>
          <w:p w14:paraId="3203ED3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1024436 </w:t>
            </w:r>
          </w:p>
        </w:tc>
        <w:tc>
          <w:tcPr>
            <w:tcW w:w="716" w:type="pct"/>
            <w:tcBorders>
              <w:tl2br w:val="nil"/>
              <w:tr2bl w:val="nil"/>
            </w:tcBorders>
            <w:shd w:val="clear" w:color="auto" w:fill="auto"/>
            <w:noWrap/>
            <w:vAlign w:val="center"/>
          </w:tcPr>
          <w:p w14:paraId="7F6EACDC">
            <w:pPr>
              <w:rPr>
                <w:rFonts w:hint="default" w:ascii="Times New Roman" w:hAnsi="Times New Roman" w:eastAsia="宋体" w:cs="Times New Roman"/>
                <w:i w:val="0"/>
                <w:iCs w:val="0"/>
                <w:color w:val="auto"/>
                <w:sz w:val="21"/>
                <w:szCs w:val="21"/>
                <w:u w:val="none"/>
              </w:rPr>
            </w:pPr>
          </w:p>
        </w:tc>
      </w:tr>
      <w:tr w14:paraId="7FC79CF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62EB99D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64DA379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国家水土保持重点工程</w:t>
            </w:r>
          </w:p>
        </w:tc>
        <w:tc>
          <w:tcPr>
            <w:tcW w:w="294" w:type="pct"/>
            <w:tcBorders>
              <w:tl2br w:val="nil"/>
              <w:tr2bl w:val="nil"/>
            </w:tcBorders>
            <w:shd w:val="clear" w:color="auto" w:fill="auto"/>
            <w:vAlign w:val="center"/>
          </w:tcPr>
          <w:p w14:paraId="50FED5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14:paraId="1BE6BC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2400 </w:t>
            </w:r>
          </w:p>
        </w:tc>
        <w:tc>
          <w:tcPr>
            <w:tcW w:w="659" w:type="pct"/>
            <w:tcBorders>
              <w:tl2br w:val="nil"/>
              <w:tr2bl w:val="nil"/>
            </w:tcBorders>
            <w:shd w:val="clear" w:color="auto" w:fill="auto"/>
            <w:noWrap/>
            <w:vAlign w:val="center"/>
          </w:tcPr>
          <w:p w14:paraId="118FC3C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50万元/km²</w:t>
            </w:r>
          </w:p>
        </w:tc>
        <w:tc>
          <w:tcPr>
            <w:tcW w:w="517" w:type="pct"/>
            <w:tcBorders>
              <w:tl2br w:val="nil"/>
              <w:tr2bl w:val="nil"/>
            </w:tcBorders>
            <w:shd w:val="clear" w:color="auto" w:fill="auto"/>
            <w:vAlign w:val="center"/>
          </w:tcPr>
          <w:p w14:paraId="79B8FB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120000 </w:t>
            </w:r>
          </w:p>
        </w:tc>
        <w:tc>
          <w:tcPr>
            <w:tcW w:w="435" w:type="pct"/>
            <w:tcBorders>
              <w:tl2br w:val="nil"/>
              <w:tr2bl w:val="nil"/>
            </w:tcBorders>
            <w:shd w:val="clear" w:color="auto" w:fill="auto"/>
            <w:vAlign w:val="center"/>
          </w:tcPr>
          <w:p w14:paraId="209B193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84000 </w:t>
            </w:r>
          </w:p>
        </w:tc>
        <w:tc>
          <w:tcPr>
            <w:tcW w:w="440" w:type="pct"/>
            <w:tcBorders>
              <w:tl2br w:val="nil"/>
              <w:tr2bl w:val="nil"/>
            </w:tcBorders>
            <w:shd w:val="clear" w:color="auto" w:fill="auto"/>
            <w:vAlign w:val="center"/>
          </w:tcPr>
          <w:p w14:paraId="21C5DA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36000 </w:t>
            </w:r>
          </w:p>
        </w:tc>
        <w:tc>
          <w:tcPr>
            <w:tcW w:w="716" w:type="pct"/>
            <w:vMerge w:val="restart"/>
            <w:tcBorders>
              <w:tl2br w:val="nil"/>
              <w:tr2bl w:val="nil"/>
            </w:tcBorders>
            <w:shd w:val="clear" w:color="auto" w:fill="auto"/>
            <w:noWrap/>
            <w:vAlign w:val="center"/>
          </w:tcPr>
          <w:p w14:paraId="2EFF4BC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根据历年实施项目推算</w:t>
            </w:r>
          </w:p>
        </w:tc>
      </w:tr>
      <w:tr w14:paraId="131A15F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169B69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038B3D1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省级水土保持重点工程</w:t>
            </w:r>
          </w:p>
        </w:tc>
        <w:tc>
          <w:tcPr>
            <w:tcW w:w="294" w:type="pct"/>
            <w:tcBorders>
              <w:tl2br w:val="nil"/>
              <w:tr2bl w:val="nil"/>
            </w:tcBorders>
            <w:shd w:val="clear" w:color="auto" w:fill="auto"/>
            <w:vAlign w:val="center"/>
          </w:tcPr>
          <w:p w14:paraId="3B30B5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14:paraId="184356F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659" w:type="pct"/>
            <w:tcBorders>
              <w:tl2br w:val="nil"/>
              <w:tr2bl w:val="nil"/>
            </w:tcBorders>
            <w:shd w:val="clear" w:color="auto" w:fill="auto"/>
            <w:noWrap/>
            <w:vAlign w:val="center"/>
          </w:tcPr>
          <w:p w14:paraId="272D7A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50万元/km²</w:t>
            </w:r>
          </w:p>
        </w:tc>
        <w:tc>
          <w:tcPr>
            <w:tcW w:w="517" w:type="pct"/>
            <w:tcBorders>
              <w:tl2br w:val="nil"/>
              <w:tr2bl w:val="nil"/>
            </w:tcBorders>
            <w:shd w:val="clear" w:color="auto" w:fill="auto"/>
            <w:vAlign w:val="center"/>
          </w:tcPr>
          <w:p w14:paraId="3BED17C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20000 </w:t>
            </w:r>
          </w:p>
        </w:tc>
        <w:tc>
          <w:tcPr>
            <w:tcW w:w="435" w:type="pct"/>
            <w:tcBorders>
              <w:tl2br w:val="nil"/>
              <w:tr2bl w:val="nil"/>
            </w:tcBorders>
            <w:shd w:val="clear" w:color="auto" w:fill="auto"/>
            <w:vAlign w:val="center"/>
          </w:tcPr>
          <w:p w14:paraId="327B1837">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37FDF0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20000 </w:t>
            </w:r>
          </w:p>
        </w:tc>
        <w:tc>
          <w:tcPr>
            <w:tcW w:w="716" w:type="pct"/>
            <w:vMerge w:val="continue"/>
            <w:tcBorders>
              <w:tl2br w:val="nil"/>
              <w:tr2bl w:val="nil"/>
            </w:tcBorders>
            <w:shd w:val="clear" w:color="auto" w:fill="auto"/>
            <w:noWrap/>
            <w:vAlign w:val="center"/>
          </w:tcPr>
          <w:p w14:paraId="42E31754">
            <w:pPr>
              <w:jc w:val="center"/>
              <w:rPr>
                <w:rFonts w:hint="default" w:ascii="Times New Roman" w:hAnsi="Times New Roman" w:eastAsia="宋体" w:cs="Times New Roman"/>
                <w:i w:val="0"/>
                <w:iCs w:val="0"/>
                <w:color w:val="auto"/>
                <w:sz w:val="21"/>
                <w:szCs w:val="21"/>
                <w:u w:val="none"/>
              </w:rPr>
            </w:pPr>
          </w:p>
        </w:tc>
      </w:tr>
      <w:tr w14:paraId="3900220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65E69DB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3</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68C451DC">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坡耕地水土流失综合治理工程</w:t>
            </w:r>
          </w:p>
        </w:tc>
        <w:tc>
          <w:tcPr>
            <w:tcW w:w="294" w:type="pct"/>
            <w:tcBorders>
              <w:tl2br w:val="nil"/>
              <w:tr2bl w:val="nil"/>
            </w:tcBorders>
            <w:shd w:val="clear" w:color="auto" w:fill="auto"/>
            <w:vAlign w:val="center"/>
          </w:tcPr>
          <w:p w14:paraId="0BC3781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14:paraId="7708DE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120</w:t>
            </w:r>
          </w:p>
        </w:tc>
        <w:tc>
          <w:tcPr>
            <w:tcW w:w="659" w:type="pct"/>
            <w:tcBorders>
              <w:tl2br w:val="nil"/>
              <w:tr2bl w:val="nil"/>
            </w:tcBorders>
            <w:shd w:val="clear" w:color="auto" w:fill="auto"/>
            <w:noWrap/>
            <w:vAlign w:val="center"/>
          </w:tcPr>
          <w:p w14:paraId="0A34A21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521万元/km²</w:t>
            </w:r>
          </w:p>
        </w:tc>
        <w:tc>
          <w:tcPr>
            <w:tcW w:w="517" w:type="pct"/>
            <w:tcBorders>
              <w:tl2br w:val="nil"/>
              <w:tr2bl w:val="nil"/>
            </w:tcBorders>
            <w:shd w:val="clear" w:color="auto" w:fill="auto"/>
            <w:vAlign w:val="center"/>
          </w:tcPr>
          <w:p w14:paraId="47BFCF2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62520 </w:t>
            </w:r>
          </w:p>
        </w:tc>
        <w:tc>
          <w:tcPr>
            <w:tcW w:w="435" w:type="pct"/>
            <w:tcBorders>
              <w:tl2br w:val="nil"/>
              <w:tr2bl w:val="nil"/>
            </w:tcBorders>
            <w:shd w:val="clear" w:color="auto" w:fill="auto"/>
            <w:vAlign w:val="center"/>
          </w:tcPr>
          <w:p w14:paraId="0B7D8C6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50016 </w:t>
            </w:r>
          </w:p>
        </w:tc>
        <w:tc>
          <w:tcPr>
            <w:tcW w:w="440" w:type="pct"/>
            <w:tcBorders>
              <w:tl2br w:val="nil"/>
              <w:tr2bl w:val="nil"/>
            </w:tcBorders>
            <w:shd w:val="clear" w:color="auto" w:fill="auto"/>
            <w:vAlign w:val="center"/>
          </w:tcPr>
          <w:p w14:paraId="1DC5540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12504 </w:t>
            </w:r>
          </w:p>
        </w:tc>
        <w:tc>
          <w:tcPr>
            <w:tcW w:w="716" w:type="pct"/>
            <w:vMerge w:val="continue"/>
            <w:tcBorders>
              <w:tl2br w:val="nil"/>
              <w:tr2bl w:val="nil"/>
            </w:tcBorders>
            <w:shd w:val="clear" w:color="auto" w:fill="auto"/>
            <w:noWrap/>
            <w:vAlign w:val="center"/>
          </w:tcPr>
          <w:p w14:paraId="7DD58F58">
            <w:pPr>
              <w:jc w:val="center"/>
              <w:rPr>
                <w:rFonts w:hint="default" w:ascii="Times New Roman" w:hAnsi="Times New Roman" w:eastAsia="宋体" w:cs="Times New Roman"/>
                <w:i w:val="0"/>
                <w:iCs w:val="0"/>
                <w:color w:val="auto"/>
                <w:sz w:val="21"/>
                <w:szCs w:val="21"/>
                <w:u w:val="none"/>
              </w:rPr>
            </w:pPr>
          </w:p>
        </w:tc>
      </w:tr>
      <w:tr w14:paraId="5D1B7D6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716330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4</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79CFDA1C">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低质低效林改造</w:t>
            </w:r>
          </w:p>
        </w:tc>
        <w:tc>
          <w:tcPr>
            <w:tcW w:w="294" w:type="pct"/>
            <w:tcBorders>
              <w:tl2br w:val="nil"/>
              <w:tr2bl w:val="nil"/>
            </w:tcBorders>
            <w:shd w:val="clear" w:color="auto" w:fill="auto"/>
            <w:vAlign w:val="center"/>
          </w:tcPr>
          <w:p w14:paraId="2E1A89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14:paraId="24AEC5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6666</w:t>
            </w:r>
          </w:p>
        </w:tc>
        <w:tc>
          <w:tcPr>
            <w:tcW w:w="659" w:type="pct"/>
            <w:tcBorders>
              <w:tl2br w:val="nil"/>
              <w:tr2bl w:val="nil"/>
            </w:tcBorders>
            <w:shd w:val="clear" w:color="auto" w:fill="auto"/>
            <w:noWrap/>
            <w:vAlign w:val="center"/>
          </w:tcPr>
          <w:p w14:paraId="6038505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106.51万元/km²</w:t>
            </w:r>
          </w:p>
        </w:tc>
        <w:tc>
          <w:tcPr>
            <w:tcW w:w="517" w:type="pct"/>
            <w:tcBorders>
              <w:tl2br w:val="nil"/>
              <w:tr2bl w:val="nil"/>
            </w:tcBorders>
            <w:shd w:val="clear" w:color="auto" w:fill="auto"/>
            <w:vAlign w:val="center"/>
          </w:tcPr>
          <w:p w14:paraId="7723C4C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710000 </w:t>
            </w:r>
          </w:p>
        </w:tc>
        <w:tc>
          <w:tcPr>
            <w:tcW w:w="435" w:type="pct"/>
            <w:tcBorders>
              <w:tl2br w:val="nil"/>
              <w:tr2bl w:val="nil"/>
            </w:tcBorders>
            <w:shd w:val="clear" w:color="auto" w:fill="auto"/>
            <w:vAlign w:val="center"/>
          </w:tcPr>
          <w:p w14:paraId="0922953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506125 </w:t>
            </w:r>
          </w:p>
        </w:tc>
        <w:tc>
          <w:tcPr>
            <w:tcW w:w="440" w:type="pct"/>
            <w:tcBorders>
              <w:tl2br w:val="nil"/>
              <w:tr2bl w:val="nil"/>
            </w:tcBorders>
            <w:shd w:val="clear" w:color="auto" w:fill="auto"/>
            <w:vAlign w:val="center"/>
          </w:tcPr>
          <w:p w14:paraId="77F0C9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203875 </w:t>
            </w:r>
          </w:p>
        </w:tc>
        <w:tc>
          <w:tcPr>
            <w:tcW w:w="716" w:type="pct"/>
            <w:vMerge w:val="restart"/>
            <w:tcBorders>
              <w:tl2br w:val="nil"/>
              <w:tr2bl w:val="nil"/>
            </w:tcBorders>
            <w:shd w:val="clear" w:color="auto" w:fill="auto"/>
            <w:vAlign w:val="center"/>
          </w:tcPr>
          <w:p w14:paraId="758A4A3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《贵州省统筹推进山水林田湖草系统治理行动方案》</w:t>
            </w:r>
          </w:p>
        </w:tc>
      </w:tr>
      <w:tr w14:paraId="32DD060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361061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5</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47D9A03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山水林田湖草沙一体化生态保护和修复项目</w:t>
            </w:r>
          </w:p>
        </w:tc>
        <w:tc>
          <w:tcPr>
            <w:tcW w:w="294" w:type="pct"/>
            <w:tcBorders>
              <w:tl2br w:val="nil"/>
              <w:tr2bl w:val="nil"/>
            </w:tcBorders>
            <w:shd w:val="clear" w:color="auto" w:fill="auto"/>
            <w:vAlign w:val="center"/>
          </w:tcPr>
          <w:p w14:paraId="476EBE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14:paraId="7988BC7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c>
          <w:tcPr>
            <w:tcW w:w="659" w:type="pct"/>
            <w:tcBorders>
              <w:tl2br w:val="nil"/>
              <w:tr2bl w:val="nil"/>
            </w:tcBorders>
            <w:shd w:val="clear" w:color="auto" w:fill="auto"/>
            <w:noWrap/>
            <w:vAlign w:val="center"/>
          </w:tcPr>
          <w:p w14:paraId="4D88AC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1706万元/km²</w:t>
            </w:r>
          </w:p>
        </w:tc>
        <w:tc>
          <w:tcPr>
            <w:tcW w:w="517" w:type="pct"/>
            <w:tcBorders>
              <w:tl2br w:val="nil"/>
              <w:tr2bl w:val="nil"/>
            </w:tcBorders>
            <w:shd w:val="clear" w:color="auto" w:fill="auto"/>
            <w:vAlign w:val="center"/>
          </w:tcPr>
          <w:p w14:paraId="6199BD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136458 </w:t>
            </w:r>
          </w:p>
        </w:tc>
        <w:tc>
          <w:tcPr>
            <w:tcW w:w="435" w:type="pct"/>
            <w:tcBorders>
              <w:tl2br w:val="nil"/>
              <w:tr2bl w:val="nil"/>
            </w:tcBorders>
            <w:shd w:val="clear" w:color="auto" w:fill="auto"/>
            <w:vAlign w:val="center"/>
          </w:tcPr>
          <w:p w14:paraId="7F1825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76000 </w:t>
            </w:r>
          </w:p>
        </w:tc>
        <w:tc>
          <w:tcPr>
            <w:tcW w:w="440" w:type="pct"/>
            <w:tcBorders>
              <w:tl2br w:val="nil"/>
              <w:tr2bl w:val="nil"/>
            </w:tcBorders>
            <w:shd w:val="clear" w:color="auto" w:fill="auto"/>
            <w:vAlign w:val="center"/>
          </w:tcPr>
          <w:p w14:paraId="6291847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60458 </w:t>
            </w:r>
          </w:p>
        </w:tc>
        <w:tc>
          <w:tcPr>
            <w:tcW w:w="716" w:type="pct"/>
            <w:vMerge w:val="continue"/>
            <w:tcBorders>
              <w:tl2br w:val="nil"/>
              <w:tr2bl w:val="nil"/>
            </w:tcBorders>
            <w:shd w:val="clear" w:color="auto" w:fill="auto"/>
            <w:vAlign w:val="center"/>
          </w:tcPr>
          <w:p w14:paraId="181473E2">
            <w:pPr>
              <w:jc w:val="center"/>
              <w:rPr>
                <w:rFonts w:hint="default" w:ascii="Times New Roman" w:hAnsi="Times New Roman" w:eastAsia="宋体" w:cs="Times New Roman"/>
                <w:i w:val="0"/>
                <w:iCs w:val="0"/>
                <w:color w:val="auto"/>
                <w:sz w:val="21"/>
                <w:szCs w:val="21"/>
                <w:u w:val="none"/>
              </w:rPr>
            </w:pPr>
          </w:p>
        </w:tc>
      </w:tr>
      <w:tr w14:paraId="4FA0192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03C683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6</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1A3E655F">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矿山生态修复项目</w:t>
            </w:r>
          </w:p>
        </w:tc>
        <w:tc>
          <w:tcPr>
            <w:tcW w:w="294" w:type="pct"/>
            <w:tcBorders>
              <w:tl2br w:val="nil"/>
              <w:tr2bl w:val="nil"/>
            </w:tcBorders>
            <w:shd w:val="clear" w:color="auto" w:fill="auto"/>
            <w:vAlign w:val="center"/>
          </w:tcPr>
          <w:p w14:paraId="5300231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14:paraId="04D85C1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659" w:type="pct"/>
            <w:tcBorders>
              <w:tl2br w:val="nil"/>
              <w:tr2bl w:val="nil"/>
            </w:tcBorders>
            <w:shd w:val="clear" w:color="auto" w:fill="auto"/>
            <w:noWrap/>
            <w:vAlign w:val="center"/>
          </w:tcPr>
          <w:p w14:paraId="4A1A7AE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1261万元/km²</w:t>
            </w:r>
          </w:p>
        </w:tc>
        <w:tc>
          <w:tcPr>
            <w:tcW w:w="517" w:type="pct"/>
            <w:tcBorders>
              <w:tl2br w:val="nil"/>
              <w:tr2bl w:val="nil"/>
            </w:tcBorders>
            <w:shd w:val="clear" w:color="auto" w:fill="auto"/>
            <w:vAlign w:val="center"/>
          </w:tcPr>
          <w:p w14:paraId="5519FF6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50450 </w:t>
            </w:r>
          </w:p>
        </w:tc>
        <w:tc>
          <w:tcPr>
            <w:tcW w:w="435" w:type="pct"/>
            <w:tcBorders>
              <w:tl2br w:val="nil"/>
              <w:tr2bl w:val="nil"/>
            </w:tcBorders>
            <w:shd w:val="clear" w:color="auto" w:fill="auto"/>
            <w:vAlign w:val="center"/>
          </w:tcPr>
          <w:p w14:paraId="65A84CF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25000 </w:t>
            </w:r>
          </w:p>
        </w:tc>
        <w:tc>
          <w:tcPr>
            <w:tcW w:w="440" w:type="pct"/>
            <w:tcBorders>
              <w:tl2br w:val="nil"/>
              <w:tr2bl w:val="nil"/>
            </w:tcBorders>
            <w:shd w:val="clear" w:color="auto" w:fill="auto"/>
            <w:vAlign w:val="center"/>
          </w:tcPr>
          <w:p w14:paraId="3C90AB1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25450 </w:t>
            </w:r>
          </w:p>
        </w:tc>
        <w:tc>
          <w:tcPr>
            <w:tcW w:w="716" w:type="pct"/>
            <w:vMerge w:val="continue"/>
            <w:tcBorders>
              <w:tl2br w:val="nil"/>
              <w:tr2bl w:val="nil"/>
            </w:tcBorders>
            <w:shd w:val="clear" w:color="auto" w:fill="auto"/>
            <w:vAlign w:val="center"/>
          </w:tcPr>
          <w:p w14:paraId="76CA8B71">
            <w:pPr>
              <w:jc w:val="center"/>
              <w:rPr>
                <w:rFonts w:hint="default" w:ascii="Times New Roman" w:hAnsi="Times New Roman" w:eastAsia="宋体" w:cs="Times New Roman"/>
                <w:i w:val="0"/>
                <w:iCs w:val="0"/>
                <w:color w:val="auto"/>
                <w:sz w:val="21"/>
                <w:szCs w:val="21"/>
                <w:u w:val="none"/>
              </w:rPr>
            </w:pPr>
          </w:p>
        </w:tc>
      </w:tr>
      <w:tr w14:paraId="27AE557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45963D6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7</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4FD2E517">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土地综合整治项目</w:t>
            </w:r>
          </w:p>
        </w:tc>
        <w:tc>
          <w:tcPr>
            <w:tcW w:w="294" w:type="pct"/>
            <w:tcBorders>
              <w:tl2br w:val="nil"/>
              <w:tr2bl w:val="nil"/>
            </w:tcBorders>
            <w:shd w:val="clear" w:color="auto" w:fill="auto"/>
            <w:vAlign w:val="center"/>
          </w:tcPr>
          <w:p w14:paraId="53AD711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14:paraId="3FFE2DE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59" w:type="pct"/>
            <w:tcBorders>
              <w:tl2br w:val="nil"/>
              <w:tr2bl w:val="nil"/>
            </w:tcBorders>
            <w:shd w:val="clear" w:color="auto" w:fill="auto"/>
            <w:noWrap/>
            <w:vAlign w:val="center"/>
          </w:tcPr>
          <w:p w14:paraId="5867392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2240万元/km²</w:t>
            </w:r>
          </w:p>
        </w:tc>
        <w:tc>
          <w:tcPr>
            <w:tcW w:w="517" w:type="pct"/>
            <w:tcBorders>
              <w:tl2br w:val="nil"/>
              <w:tr2bl w:val="nil"/>
            </w:tcBorders>
            <w:shd w:val="clear" w:color="auto" w:fill="auto"/>
            <w:vAlign w:val="center"/>
          </w:tcPr>
          <w:p w14:paraId="165D7EF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224000 </w:t>
            </w:r>
          </w:p>
        </w:tc>
        <w:tc>
          <w:tcPr>
            <w:tcW w:w="435" w:type="pct"/>
            <w:tcBorders>
              <w:tl2br w:val="nil"/>
              <w:tr2bl w:val="nil"/>
            </w:tcBorders>
            <w:shd w:val="clear" w:color="auto" w:fill="auto"/>
            <w:vAlign w:val="center"/>
          </w:tcPr>
          <w:p w14:paraId="5E65F940">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698701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224000 </w:t>
            </w:r>
          </w:p>
        </w:tc>
        <w:tc>
          <w:tcPr>
            <w:tcW w:w="716" w:type="pct"/>
            <w:vMerge w:val="continue"/>
            <w:tcBorders>
              <w:tl2br w:val="nil"/>
              <w:tr2bl w:val="nil"/>
            </w:tcBorders>
            <w:shd w:val="clear" w:color="auto" w:fill="auto"/>
            <w:vAlign w:val="center"/>
          </w:tcPr>
          <w:p w14:paraId="04795DB1">
            <w:pPr>
              <w:jc w:val="center"/>
              <w:rPr>
                <w:rFonts w:hint="default" w:ascii="Times New Roman" w:hAnsi="Times New Roman" w:eastAsia="宋体" w:cs="Times New Roman"/>
                <w:i w:val="0"/>
                <w:iCs w:val="0"/>
                <w:color w:val="auto"/>
                <w:sz w:val="21"/>
                <w:szCs w:val="21"/>
                <w:u w:val="none"/>
              </w:rPr>
            </w:pPr>
          </w:p>
        </w:tc>
      </w:tr>
      <w:tr w14:paraId="3D24D95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1A8D6E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0F9250C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新建高标准农田建设项目</w:t>
            </w:r>
          </w:p>
        </w:tc>
        <w:tc>
          <w:tcPr>
            <w:tcW w:w="294" w:type="pct"/>
            <w:tcBorders>
              <w:tl2br w:val="nil"/>
              <w:tr2bl w:val="nil"/>
            </w:tcBorders>
            <w:shd w:val="clear" w:color="auto" w:fill="auto"/>
            <w:vAlign w:val="center"/>
          </w:tcPr>
          <w:p w14:paraId="2084A90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14:paraId="3BD639E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3912</w:t>
            </w:r>
          </w:p>
        </w:tc>
        <w:tc>
          <w:tcPr>
            <w:tcW w:w="659" w:type="pct"/>
            <w:tcBorders>
              <w:tl2br w:val="nil"/>
              <w:tr2bl w:val="nil"/>
            </w:tcBorders>
            <w:shd w:val="clear" w:color="auto" w:fill="auto"/>
            <w:noWrap/>
            <w:vAlign w:val="center"/>
          </w:tcPr>
          <w:p w14:paraId="47A4FE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225万元/km²</w:t>
            </w:r>
          </w:p>
        </w:tc>
        <w:tc>
          <w:tcPr>
            <w:tcW w:w="517" w:type="pct"/>
            <w:tcBorders>
              <w:tl2br w:val="nil"/>
              <w:tr2bl w:val="nil"/>
            </w:tcBorders>
            <w:shd w:val="clear" w:color="auto" w:fill="auto"/>
            <w:vAlign w:val="center"/>
          </w:tcPr>
          <w:p w14:paraId="45DD005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880200 </w:t>
            </w:r>
          </w:p>
        </w:tc>
        <w:tc>
          <w:tcPr>
            <w:tcW w:w="435" w:type="pct"/>
            <w:tcBorders>
              <w:tl2br w:val="nil"/>
              <w:tr2bl w:val="nil"/>
            </w:tcBorders>
            <w:shd w:val="clear" w:color="auto" w:fill="auto"/>
            <w:vAlign w:val="center"/>
          </w:tcPr>
          <w:p w14:paraId="693DF5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519318 </w:t>
            </w:r>
          </w:p>
        </w:tc>
        <w:tc>
          <w:tcPr>
            <w:tcW w:w="440" w:type="pct"/>
            <w:tcBorders>
              <w:tl2br w:val="nil"/>
              <w:tr2bl w:val="nil"/>
            </w:tcBorders>
            <w:shd w:val="clear" w:color="auto" w:fill="auto"/>
            <w:vAlign w:val="center"/>
          </w:tcPr>
          <w:p w14:paraId="44AD07F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360882 </w:t>
            </w:r>
          </w:p>
        </w:tc>
        <w:tc>
          <w:tcPr>
            <w:tcW w:w="716" w:type="pct"/>
            <w:tcBorders>
              <w:tl2br w:val="nil"/>
              <w:tr2bl w:val="nil"/>
            </w:tcBorders>
            <w:shd w:val="clear" w:color="auto" w:fill="auto"/>
            <w:noWrap/>
            <w:vAlign w:val="center"/>
          </w:tcPr>
          <w:p w14:paraId="5F03A6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根据历年实施项目推算</w:t>
            </w:r>
          </w:p>
        </w:tc>
      </w:tr>
      <w:tr w14:paraId="4229FBE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204E5A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9</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7D4E0E44">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其他生态环境治理项目</w:t>
            </w:r>
          </w:p>
        </w:tc>
        <w:tc>
          <w:tcPr>
            <w:tcW w:w="294" w:type="pct"/>
            <w:tcBorders>
              <w:tl2br w:val="nil"/>
              <w:tr2bl w:val="nil"/>
            </w:tcBorders>
            <w:shd w:val="clear" w:color="auto" w:fill="auto"/>
            <w:vAlign w:val="center"/>
          </w:tcPr>
          <w:p w14:paraId="03988E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km²</w:t>
            </w:r>
          </w:p>
        </w:tc>
        <w:tc>
          <w:tcPr>
            <w:tcW w:w="300" w:type="pct"/>
            <w:tcBorders>
              <w:tl2br w:val="nil"/>
              <w:tr2bl w:val="nil"/>
            </w:tcBorders>
            <w:shd w:val="clear" w:color="auto" w:fill="auto"/>
            <w:vAlign w:val="center"/>
          </w:tcPr>
          <w:p w14:paraId="72B072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1182</w:t>
            </w:r>
          </w:p>
        </w:tc>
        <w:tc>
          <w:tcPr>
            <w:tcW w:w="659" w:type="pct"/>
            <w:tcBorders>
              <w:tl2br w:val="nil"/>
              <w:tr2bl w:val="nil"/>
            </w:tcBorders>
            <w:shd w:val="clear" w:color="auto" w:fill="auto"/>
            <w:noWrap/>
            <w:vAlign w:val="center"/>
          </w:tcPr>
          <w:p w14:paraId="7F9B2EE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160.64万元/km²</w:t>
            </w:r>
          </w:p>
        </w:tc>
        <w:tc>
          <w:tcPr>
            <w:tcW w:w="517" w:type="pct"/>
            <w:tcBorders>
              <w:tl2br w:val="nil"/>
              <w:tr2bl w:val="nil"/>
            </w:tcBorders>
            <w:shd w:val="clear" w:color="auto" w:fill="auto"/>
            <w:vAlign w:val="center"/>
          </w:tcPr>
          <w:p w14:paraId="39AA06F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189874 </w:t>
            </w:r>
          </w:p>
        </w:tc>
        <w:tc>
          <w:tcPr>
            <w:tcW w:w="435" w:type="pct"/>
            <w:tcBorders>
              <w:tl2br w:val="nil"/>
              <w:tr2bl w:val="nil"/>
            </w:tcBorders>
            <w:shd w:val="clear" w:color="auto" w:fill="auto"/>
            <w:vAlign w:val="center"/>
          </w:tcPr>
          <w:p w14:paraId="0260DD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108606 </w:t>
            </w:r>
          </w:p>
        </w:tc>
        <w:tc>
          <w:tcPr>
            <w:tcW w:w="440" w:type="pct"/>
            <w:tcBorders>
              <w:tl2br w:val="nil"/>
              <w:tr2bl w:val="nil"/>
            </w:tcBorders>
            <w:shd w:val="clear" w:color="auto" w:fill="auto"/>
            <w:vAlign w:val="center"/>
          </w:tcPr>
          <w:p w14:paraId="374113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81267 </w:t>
            </w:r>
          </w:p>
        </w:tc>
        <w:tc>
          <w:tcPr>
            <w:tcW w:w="716" w:type="pct"/>
            <w:tcBorders>
              <w:tl2br w:val="nil"/>
              <w:tr2bl w:val="nil"/>
            </w:tcBorders>
            <w:shd w:val="clear" w:color="auto" w:fill="auto"/>
            <w:noWrap/>
            <w:vAlign w:val="center"/>
          </w:tcPr>
          <w:p w14:paraId="725C215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根据其他项目取平均值计算</w:t>
            </w:r>
          </w:p>
        </w:tc>
      </w:tr>
      <w:tr w14:paraId="33A6962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4A62FB7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二</w:t>
            </w:r>
          </w:p>
        </w:tc>
        <w:tc>
          <w:tcPr>
            <w:tcW w:w="1323" w:type="pct"/>
            <w:tcBorders>
              <w:tl2br w:val="nil"/>
              <w:tr2bl w:val="nil"/>
            </w:tcBorders>
            <w:shd w:val="clear" w:color="auto" w:fill="auto"/>
            <w:vAlign w:val="center"/>
          </w:tcPr>
          <w:p w14:paraId="6B1FEC0E">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“十四五”期间水土保持有关规划编制</w:t>
            </w:r>
          </w:p>
        </w:tc>
        <w:tc>
          <w:tcPr>
            <w:tcW w:w="294" w:type="pct"/>
            <w:tcBorders>
              <w:tl2br w:val="nil"/>
              <w:tr2bl w:val="nil"/>
            </w:tcBorders>
            <w:shd w:val="clear" w:color="auto" w:fill="auto"/>
            <w:vAlign w:val="center"/>
          </w:tcPr>
          <w:p w14:paraId="51FEF0FF">
            <w:pPr>
              <w:jc w:val="center"/>
              <w:rPr>
                <w:rFonts w:hint="default" w:ascii="Times New Roman" w:hAnsi="Times New Roman" w:eastAsia="宋体" w:cs="Times New Roman"/>
                <w:b/>
                <w:bCs/>
                <w:i w:val="0"/>
                <w:iCs w:val="0"/>
                <w:color w:val="auto"/>
                <w:sz w:val="21"/>
                <w:szCs w:val="21"/>
                <w:u w:val="none"/>
              </w:rPr>
            </w:pPr>
          </w:p>
        </w:tc>
        <w:tc>
          <w:tcPr>
            <w:tcW w:w="300" w:type="pct"/>
            <w:tcBorders>
              <w:tl2br w:val="nil"/>
              <w:tr2bl w:val="nil"/>
            </w:tcBorders>
            <w:shd w:val="clear" w:color="auto" w:fill="auto"/>
            <w:vAlign w:val="center"/>
          </w:tcPr>
          <w:p w14:paraId="267975FD">
            <w:pPr>
              <w:jc w:val="center"/>
              <w:rPr>
                <w:rFonts w:hint="default" w:ascii="Times New Roman" w:hAnsi="Times New Roman" w:eastAsia="宋体" w:cs="Times New Roman"/>
                <w:b/>
                <w:bCs/>
                <w:i w:val="0"/>
                <w:iCs w:val="0"/>
                <w:color w:val="auto"/>
                <w:sz w:val="21"/>
                <w:szCs w:val="21"/>
                <w:u w:val="none"/>
              </w:rPr>
            </w:pPr>
          </w:p>
        </w:tc>
        <w:tc>
          <w:tcPr>
            <w:tcW w:w="659" w:type="pct"/>
            <w:tcBorders>
              <w:tl2br w:val="nil"/>
              <w:tr2bl w:val="nil"/>
            </w:tcBorders>
            <w:shd w:val="clear" w:color="auto" w:fill="auto"/>
            <w:vAlign w:val="center"/>
          </w:tcPr>
          <w:p w14:paraId="58626FA2">
            <w:pPr>
              <w:jc w:val="cente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14:paraId="72F9001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300</w:t>
            </w:r>
          </w:p>
        </w:tc>
        <w:tc>
          <w:tcPr>
            <w:tcW w:w="435" w:type="pct"/>
            <w:tcBorders>
              <w:tl2br w:val="nil"/>
              <w:tr2bl w:val="nil"/>
            </w:tcBorders>
            <w:shd w:val="clear" w:color="auto" w:fill="auto"/>
            <w:vAlign w:val="center"/>
          </w:tcPr>
          <w:p w14:paraId="04CF732C">
            <w:pPr>
              <w:jc w:val="center"/>
              <w:rPr>
                <w:rFonts w:hint="default" w:ascii="Times New Roman" w:hAnsi="Times New Roman" w:eastAsia="宋体" w:cs="Times New Roman"/>
                <w:b/>
                <w:bCs/>
                <w:i w:val="0"/>
                <w:iCs w:val="0"/>
                <w:color w:val="auto"/>
                <w:sz w:val="21"/>
                <w:szCs w:val="21"/>
                <w:u w:val="none"/>
              </w:rPr>
            </w:pPr>
          </w:p>
        </w:tc>
        <w:tc>
          <w:tcPr>
            <w:tcW w:w="440" w:type="pct"/>
            <w:tcBorders>
              <w:tl2br w:val="nil"/>
              <w:tr2bl w:val="nil"/>
            </w:tcBorders>
            <w:shd w:val="clear" w:color="auto" w:fill="auto"/>
            <w:vAlign w:val="center"/>
          </w:tcPr>
          <w:p w14:paraId="4C65D07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300</w:t>
            </w:r>
          </w:p>
        </w:tc>
        <w:tc>
          <w:tcPr>
            <w:tcW w:w="716" w:type="pct"/>
            <w:tcBorders>
              <w:tl2br w:val="nil"/>
              <w:tr2bl w:val="nil"/>
            </w:tcBorders>
            <w:shd w:val="clear" w:color="auto" w:fill="auto"/>
            <w:vAlign w:val="center"/>
          </w:tcPr>
          <w:p w14:paraId="6A68D03A">
            <w:pPr>
              <w:jc w:val="center"/>
              <w:rPr>
                <w:rFonts w:hint="default" w:ascii="Times New Roman" w:hAnsi="Times New Roman" w:eastAsia="宋体" w:cs="Times New Roman"/>
                <w:i w:val="0"/>
                <w:iCs w:val="0"/>
                <w:color w:val="auto"/>
                <w:sz w:val="21"/>
                <w:szCs w:val="21"/>
                <w:u w:val="none"/>
              </w:rPr>
            </w:pPr>
          </w:p>
        </w:tc>
      </w:tr>
      <w:tr w14:paraId="08C041A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1299613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三</w:t>
            </w:r>
          </w:p>
        </w:tc>
        <w:tc>
          <w:tcPr>
            <w:tcW w:w="1323" w:type="pct"/>
            <w:tcBorders>
              <w:tl2br w:val="nil"/>
              <w:tr2bl w:val="nil"/>
            </w:tcBorders>
            <w:shd w:val="clear" w:color="auto" w:fill="auto"/>
            <w:vAlign w:val="center"/>
          </w:tcPr>
          <w:p w14:paraId="0177859C">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监督管理</w:t>
            </w:r>
          </w:p>
        </w:tc>
        <w:tc>
          <w:tcPr>
            <w:tcW w:w="294" w:type="pct"/>
            <w:tcBorders>
              <w:tl2br w:val="nil"/>
              <w:tr2bl w:val="nil"/>
            </w:tcBorders>
            <w:shd w:val="clear" w:color="auto" w:fill="auto"/>
            <w:vAlign w:val="center"/>
          </w:tcPr>
          <w:p w14:paraId="24EB64F0">
            <w:pPr>
              <w:rPr>
                <w:rFonts w:hint="default" w:ascii="Times New Roman" w:hAnsi="Times New Roman" w:eastAsia="宋体" w:cs="Times New Roman"/>
                <w:b/>
                <w:bCs/>
                <w:i w:val="0"/>
                <w:iCs w:val="0"/>
                <w:color w:val="auto"/>
                <w:sz w:val="21"/>
                <w:szCs w:val="21"/>
                <w:u w:val="none"/>
              </w:rPr>
            </w:pPr>
          </w:p>
        </w:tc>
        <w:tc>
          <w:tcPr>
            <w:tcW w:w="300" w:type="pct"/>
            <w:tcBorders>
              <w:tl2br w:val="nil"/>
              <w:tr2bl w:val="nil"/>
            </w:tcBorders>
            <w:shd w:val="clear" w:color="auto" w:fill="auto"/>
            <w:vAlign w:val="center"/>
          </w:tcPr>
          <w:p w14:paraId="3A49D2F2">
            <w:pPr>
              <w:rPr>
                <w:rFonts w:hint="default" w:ascii="Times New Roman" w:hAnsi="Times New Roman" w:eastAsia="宋体" w:cs="Times New Roman"/>
                <w:b/>
                <w:bCs/>
                <w:i w:val="0"/>
                <w:iCs w:val="0"/>
                <w:color w:val="auto"/>
                <w:sz w:val="21"/>
                <w:szCs w:val="21"/>
                <w:u w:val="none"/>
              </w:rPr>
            </w:pPr>
          </w:p>
        </w:tc>
        <w:tc>
          <w:tcPr>
            <w:tcW w:w="659" w:type="pct"/>
            <w:tcBorders>
              <w:tl2br w:val="nil"/>
              <w:tr2bl w:val="nil"/>
            </w:tcBorders>
            <w:shd w:val="clear" w:color="auto" w:fill="auto"/>
            <w:vAlign w:val="center"/>
          </w:tcPr>
          <w:p w14:paraId="54BFAFF7">
            <w:pP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14:paraId="393C2AD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4225</w:t>
            </w:r>
          </w:p>
        </w:tc>
        <w:tc>
          <w:tcPr>
            <w:tcW w:w="435" w:type="pct"/>
            <w:tcBorders>
              <w:tl2br w:val="nil"/>
              <w:tr2bl w:val="nil"/>
            </w:tcBorders>
            <w:shd w:val="clear" w:color="auto" w:fill="auto"/>
            <w:vAlign w:val="center"/>
          </w:tcPr>
          <w:p w14:paraId="12125937">
            <w:pPr>
              <w:jc w:val="center"/>
              <w:rPr>
                <w:rFonts w:hint="default" w:ascii="Times New Roman" w:hAnsi="Times New Roman" w:eastAsia="宋体" w:cs="Times New Roman"/>
                <w:b/>
                <w:bCs/>
                <w:i w:val="0"/>
                <w:iCs w:val="0"/>
                <w:color w:val="auto"/>
                <w:sz w:val="21"/>
                <w:szCs w:val="21"/>
                <w:u w:val="none"/>
              </w:rPr>
            </w:pPr>
          </w:p>
        </w:tc>
        <w:tc>
          <w:tcPr>
            <w:tcW w:w="440" w:type="pct"/>
            <w:tcBorders>
              <w:tl2br w:val="nil"/>
              <w:tr2bl w:val="nil"/>
            </w:tcBorders>
            <w:shd w:val="clear" w:color="auto" w:fill="auto"/>
            <w:vAlign w:val="center"/>
          </w:tcPr>
          <w:p w14:paraId="5A7E658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4225</w:t>
            </w:r>
          </w:p>
        </w:tc>
        <w:tc>
          <w:tcPr>
            <w:tcW w:w="716" w:type="pct"/>
            <w:tcBorders>
              <w:tl2br w:val="nil"/>
              <w:tr2bl w:val="nil"/>
            </w:tcBorders>
            <w:shd w:val="clear" w:color="auto" w:fill="auto"/>
            <w:noWrap/>
            <w:vAlign w:val="center"/>
          </w:tcPr>
          <w:p w14:paraId="638C5D33">
            <w:pPr>
              <w:rPr>
                <w:rFonts w:hint="default" w:ascii="Times New Roman" w:hAnsi="Times New Roman" w:eastAsia="宋体" w:cs="Times New Roman"/>
                <w:i w:val="0"/>
                <w:iCs w:val="0"/>
                <w:color w:val="auto"/>
                <w:sz w:val="21"/>
                <w:szCs w:val="21"/>
                <w:u w:val="none"/>
              </w:rPr>
            </w:pPr>
          </w:p>
        </w:tc>
      </w:tr>
      <w:tr w14:paraId="6937D5C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19293FA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323" w:type="pct"/>
            <w:tcBorders>
              <w:tl2br w:val="nil"/>
              <w:tr2bl w:val="nil"/>
            </w:tcBorders>
            <w:shd w:val="clear" w:color="auto" w:fill="auto"/>
            <w:vAlign w:val="center"/>
          </w:tcPr>
          <w:p w14:paraId="58142DE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生产建设项目天地一体化</w:t>
            </w:r>
          </w:p>
        </w:tc>
        <w:tc>
          <w:tcPr>
            <w:tcW w:w="294" w:type="pct"/>
            <w:tcBorders>
              <w:tl2br w:val="nil"/>
              <w:tr2bl w:val="nil"/>
            </w:tcBorders>
            <w:shd w:val="clear" w:color="auto" w:fill="auto"/>
            <w:vAlign w:val="center"/>
          </w:tcPr>
          <w:p w14:paraId="6F6CEFD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14:paraId="50D16F3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noWrap/>
            <w:vAlign w:val="center"/>
          </w:tcPr>
          <w:p w14:paraId="74572AC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350万元/年</w:t>
            </w:r>
          </w:p>
        </w:tc>
        <w:tc>
          <w:tcPr>
            <w:tcW w:w="517" w:type="pct"/>
            <w:tcBorders>
              <w:tl2br w:val="nil"/>
              <w:tr2bl w:val="nil"/>
            </w:tcBorders>
            <w:shd w:val="clear" w:color="auto" w:fill="auto"/>
            <w:vAlign w:val="center"/>
          </w:tcPr>
          <w:p w14:paraId="3E4C11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1750</w:t>
            </w:r>
          </w:p>
        </w:tc>
        <w:tc>
          <w:tcPr>
            <w:tcW w:w="435" w:type="pct"/>
            <w:tcBorders>
              <w:tl2br w:val="nil"/>
              <w:tr2bl w:val="nil"/>
            </w:tcBorders>
            <w:shd w:val="clear" w:color="auto" w:fill="auto"/>
            <w:vAlign w:val="center"/>
          </w:tcPr>
          <w:p w14:paraId="67C949AF">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33ACA3A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1750</w:t>
            </w:r>
          </w:p>
        </w:tc>
        <w:tc>
          <w:tcPr>
            <w:tcW w:w="716" w:type="pct"/>
            <w:tcBorders>
              <w:tl2br w:val="nil"/>
              <w:tr2bl w:val="nil"/>
            </w:tcBorders>
            <w:shd w:val="clear" w:color="auto" w:fill="auto"/>
            <w:vAlign w:val="center"/>
          </w:tcPr>
          <w:p w14:paraId="5AC16374">
            <w:pPr>
              <w:jc w:val="center"/>
              <w:rPr>
                <w:rFonts w:hint="default" w:ascii="Times New Roman" w:hAnsi="Times New Roman" w:eastAsia="宋体" w:cs="Times New Roman"/>
                <w:i w:val="0"/>
                <w:iCs w:val="0"/>
                <w:color w:val="auto"/>
                <w:sz w:val="21"/>
                <w:szCs w:val="21"/>
                <w:u w:val="none"/>
              </w:rPr>
            </w:pPr>
          </w:p>
        </w:tc>
      </w:tr>
      <w:tr w14:paraId="336F0CA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2F72FD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323" w:type="pct"/>
            <w:tcBorders>
              <w:tl2br w:val="nil"/>
              <w:tr2bl w:val="nil"/>
            </w:tcBorders>
            <w:shd w:val="clear" w:color="auto" w:fill="auto"/>
            <w:vAlign w:val="center"/>
          </w:tcPr>
          <w:p w14:paraId="6B2FECD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水土保持重点工程图班精细化</w:t>
            </w:r>
          </w:p>
        </w:tc>
        <w:tc>
          <w:tcPr>
            <w:tcW w:w="294" w:type="pct"/>
            <w:tcBorders>
              <w:tl2br w:val="nil"/>
              <w:tr2bl w:val="nil"/>
            </w:tcBorders>
            <w:shd w:val="clear" w:color="auto" w:fill="auto"/>
            <w:vAlign w:val="center"/>
          </w:tcPr>
          <w:p w14:paraId="6A3C30F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14:paraId="3DDB11E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noWrap/>
            <w:vAlign w:val="center"/>
          </w:tcPr>
          <w:p w14:paraId="5B92FEC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135</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年</w:t>
            </w:r>
          </w:p>
        </w:tc>
        <w:tc>
          <w:tcPr>
            <w:tcW w:w="517" w:type="pct"/>
            <w:tcBorders>
              <w:tl2br w:val="nil"/>
              <w:tr2bl w:val="nil"/>
            </w:tcBorders>
            <w:shd w:val="clear" w:color="auto" w:fill="auto"/>
            <w:vAlign w:val="center"/>
          </w:tcPr>
          <w:p w14:paraId="304D50F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675</w:t>
            </w:r>
          </w:p>
        </w:tc>
        <w:tc>
          <w:tcPr>
            <w:tcW w:w="435" w:type="pct"/>
            <w:tcBorders>
              <w:tl2br w:val="nil"/>
              <w:tr2bl w:val="nil"/>
            </w:tcBorders>
            <w:shd w:val="clear" w:color="auto" w:fill="auto"/>
            <w:vAlign w:val="center"/>
          </w:tcPr>
          <w:p w14:paraId="1B9E7F6E">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03CDA1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675</w:t>
            </w:r>
          </w:p>
        </w:tc>
        <w:tc>
          <w:tcPr>
            <w:tcW w:w="716" w:type="pct"/>
            <w:tcBorders>
              <w:tl2br w:val="nil"/>
              <w:tr2bl w:val="nil"/>
            </w:tcBorders>
            <w:shd w:val="clear" w:color="auto" w:fill="auto"/>
            <w:noWrap/>
            <w:vAlign w:val="center"/>
          </w:tcPr>
          <w:p w14:paraId="774CE5B7">
            <w:pPr>
              <w:jc w:val="center"/>
              <w:rPr>
                <w:rFonts w:hint="default" w:ascii="Times New Roman" w:hAnsi="Times New Roman" w:eastAsia="宋体" w:cs="Times New Roman"/>
                <w:i w:val="0"/>
                <w:iCs w:val="0"/>
                <w:color w:val="auto"/>
                <w:sz w:val="21"/>
                <w:szCs w:val="21"/>
                <w:u w:val="none"/>
              </w:rPr>
            </w:pPr>
          </w:p>
        </w:tc>
      </w:tr>
      <w:tr w14:paraId="267474E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6E4D50A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323" w:type="pct"/>
            <w:tcBorders>
              <w:tl2br w:val="nil"/>
              <w:tr2bl w:val="nil"/>
            </w:tcBorders>
            <w:shd w:val="clear" w:color="auto" w:fill="auto"/>
            <w:vAlign w:val="center"/>
          </w:tcPr>
          <w:p w14:paraId="160E647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水土保持方案评审及验收核查</w:t>
            </w:r>
          </w:p>
        </w:tc>
        <w:tc>
          <w:tcPr>
            <w:tcW w:w="294" w:type="pct"/>
            <w:tcBorders>
              <w:tl2br w:val="nil"/>
              <w:tr2bl w:val="nil"/>
            </w:tcBorders>
            <w:shd w:val="clear" w:color="auto" w:fill="auto"/>
            <w:vAlign w:val="center"/>
          </w:tcPr>
          <w:p w14:paraId="71B64B8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14:paraId="025997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600</w:t>
            </w:r>
          </w:p>
        </w:tc>
        <w:tc>
          <w:tcPr>
            <w:tcW w:w="659" w:type="pct"/>
            <w:tcBorders>
              <w:tl2br w:val="nil"/>
              <w:tr2bl w:val="nil"/>
            </w:tcBorders>
            <w:shd w:val="clear" w:color="auto" w:fill="auto"/>
            <w:noWrap/>
            <w:vAlign w:val="center"/>
          </w:tcPr>
          <w:p w14:paraId="76003D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p>
        </w:tc>
        <w:tc>
          <w:tcPr>
            <w:tcW w:w="517" w:type="pct"/>
            <w:tcBorders>
              <w:tl2br w:val="nil"/>
              <w:tr2bl w:val="nil"/>
            </w:tcBorders>
            <w:shd w:val="clear" w:color="auto" w:fill="auto"/>
            <w:vAlign w:val="center"/>
          </w:tcPr>
          <w:p w14:paraId="28BCE2F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1800</w:t>
            </w:r>
          </w:p>
        </w:tc>
        <w:tc>
          <w:tcPr>
            <w:tcW w:w="435" w:type="pct"/>
            <w:tcBorders>
              <w:tl2br w:val="nil"/>
              <w:tr2bl w:val="nil"/>
            </w:tcBorders>
            <w:shd w:val="clear" w:color="auto" w:fill="auto"/>
            <w:vAlign w:val="center"/>
          </w:tcPr>
          <w:p w14:paraId="0022BA2D">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0D9CF78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1800</w:t>
            </w:r>
          </w:p>
        </w:tc>
        <w:tc>
          <w:tcPr>
            <w:tcW w:w="716" w:type="pct"/>
            <w:tcBorders>
              <w:tl2br w:val="nil"/>
              <w:tr2bl w:val="nil"/>
            </w:tcBorders>
            <w:shd w:val="clear" w:color="auto" w:fill="auto"/>
            <w:noWrap/>
            <w:vAlign w:val="center"/>
          </w:tcPr>
          <w:p w14:paraId="0418AE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w:t>
            </w:r>
            <w:r>
              <w:rPr>
                <w:rStyle w:val="44"/>
                <w:rFonts w:hint="default" w:ascii="Times New Roman" w:hAnsi="Times New Roman" w:eastAsia="宋体" w:cs="Times New Roman"/>
                <w:color w:val="auto"/>
                <w:sz w:val="21"/>
                <w:szCs w:val="21"/>
                <w:lang w:val="en-US" w:eastAsia="zh-CN" w:bidi="ar"/>
              </w:rPr>
              <w:t>120</w:t>
            </w:r>
            <w:r>
              <w:rPr>
                <w:rFonts w:hint="default" w:ascii="Times New Roman" w:hAnsi="Times New Roman" w:eastAsia="宋体" w:cs="Times New Roman"/>
                <w:i w:val="0"/>
                <w:iCs w:val="0"/>
                <w:color w:val="auto"/>
                <w:kern w:val="0"/>
                <w:sz w:val="21"/>
                <w:szCs w:val="21"/>
                <w:u w:val="none"/>
                <w:lang w:val="en-US" w:eastAsia="zh-CN" w:bidi="ar"/>
              </w:rPr>
              <w:t>个</w:t>
            </w:r>
          </w:p>
        </w:tc>
      </w:tr>
      <w:tr w14:paraId="7124AA5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063B497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四</w:t>
            </w:r>
          </w:p>
        </w:tc>
        <w:tc>
          <w:tcPr>
            <w:tcW w:w="1323" w:type="pct"/>
            <w:tcBorders>
              <w:tl2br w:val="nil"/>
              <w:tr2bl w:val="nil"/>
            </w:tcBorders>
            <w:shd w:val="clear" w:color="auto" w:fill="auto"/>
            <w:vAlign w:val="center"/>
          </w:tcPr>
          <w:p w14:paraId="60DAB2BE">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水土保持监测</w:t>
            </w:r>
          </w:p>
        </w:tc>
        <w:tc>
          <w:tcPr>
            <w:tcW w:w="294" w:type="pct"/>
            <w:tcBorders>
              <w:tl2br w:val="nil"/>
              <w:tr2bl w:val="nil"/>
            </w:tcBorders>
            <w:shd w:val="clear" w:color="auto" w:fill="auto"/>
            <w:vAlign w:val="center"/>
          </w:tcPr>
          <w:p w14:paraId="6F4D593D">
            <w:pPr>
              <w:jc w:val="center"/>
              <w:rPr>
                <w:rFonts w:hint="default" w:ascii="Times New Roman" w:hAnsi="Times New Roman" w:eastAsia="宋体" w:cs="Times New Roman"/>
                <w:b/>
                <w:bCs/>
                <w:i w:val="0"/>
                <w:iCs w:val="0"/>
                <w:color w:val="auto"/>
                <w:sz w:val="21"/>
                <w:szCs w:val="21"/>
                <w:u w:val="none"/>
              </w:rPr>
            </w:pPr>
          </w:p>
        </w:tc>
        <w:tc>
          <w:tcPr>
            <w:tcW w:w="300" w:type="pct"/>
            <w:tcBorders>
              <w:tl2br w:val="nil"/>
              <w:tr2bl w:val="nil"/>
            </w:tcBorders>
            <w:shd w:val="clear" w:color="auto" w:fill="auto"/>
            <w:vAlign w:val="center"/>
          </w:tcPr>
          <w:p w14:paraId="5BAD6339">
            <w:pPr>
              <w:jc w:val="center"/>
              <w:rPr>
                <w:rFonts w:hint="default" w:ascii="Times New Roman" w:hAnsi="Times New Roman" w:eastAsia="宋体" w:cs="Times New Roman"/>
                <w:b/>
                <w:bCs/>
                <w:i w:val="0"/>
                <w:iCs w:val="0"/>
                <w:color w:val="auto"/>
                <w:sz w:val="21"/>
                <w:szCs w:val="21"/>
                <w:u w:val="none"/>
              </w:rPr>
            </w:pPr>
          </w:p>
        </w:tc>
        <w:tc>
          <w:tcPr>
            <w:tcW w:w="659" w:type="pct"/>
            <w:tcBorders>
              <w:tl2br w:val="nil"/>
              <w:tr2bl w:val="nil"/>
            </w:tcBorders>
            <w:shd w:val="clear" w:color="auto" w:fill="auto"/>
            <w:vAlign w:val="center"/>
          </w:tcPr>
          <w:p w14:paraId="286119C7">
            <w:pPr>
              <w:jc w:val="cente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14:paraId="5163D68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6360</w:t>
            </w:r>
          </w:p>
        </w:tc>
        <w:tc>
          <w:tcPr>
            <w:tcW w:w="435" w:type="pct"/>
            <w:tcBorders>
              <w:tl2br w:val="nil"/>
              <w:tr2bl w:val="nil"/>
            </w:tcBorders>
            <w:shd w:val="clear" w:color="auto" w:fill="auto"/>
            <w:vAlign w:val="center"/>
          </w:tcPr>
          <w:p w14:paraId="7B653113">
            <w:pPr>
              <w:jc w:val="center"/>
              <w:rPr>
                <w:rFonts w:hint="default" w:ascii="Times New Roman" w:hAnsi="Times New Roman" w:eastAsia="宋体" w:cs="Times New Roman"/>
                <w:b/>
                <w:bCs/>
                <w:i w:val="0"/>
                <w:iCs w:val="0"/>
                <w:color w:val="auto"/>
                <w:sz w:val="21"/>
                <w:szCs w:val="21"/>
                <w:u w:val="none"/>
              </w:rPr>
            </w:pPr>
          </w:p>
        </w:tc>
        <w:tc>
          <w:tcPr>
            <w:tcW w:w="440" w:type="pct"/>
            <w:tcBorders>
              <w:tl2br w:val="nil"/>
              <w:tr2bl w:val="nil"/>
            </w:tcBorders>
            <w:shd w:val="clear" w:color="auto" w:fill="auto"/>
            <w:vAlign w:val="center"/>
          </w:tcPr>
          <w:p w14:paraId="04B6AAD4">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6360</w:t>
            </w:r>
          </w:p>
        </w:tc>
        <w:tc>
          <w:tcPr>
            <w:tcW w:w="716" w:type="pct"/>
            <w:tcBorders>
              <w:tl2br w:val="nil"/>
              <w:tr2bl w:val="nil"/>
            </w:tcBorders>
            <w:shd w:val="clear" w:color="auto" w:fill="auto"/>
            <w:vAlign w:val="center"/>
          </w:tcPr>
          <w:p w14:paraId="321F7CA1">
            <w:pPr>
              <w:jc w:val="center"/>
              <w:rPr>
                <w:rFonts w:hint="default" w:ascii="Times New Roman" w:hAnsi="Times New Roman" w:eastAsia="宋体" w:cs="Times New Roman"/>
                <w:b/>
                <w:bCs/>
                <w:i w:val="0"/>
                <w:iCs w:val="0"/>
                <w:color w:val="auto"/>
                <w:sz w:val="21"/>
                <w:szCs w:val="21"/>
                <w:u w:val="none"/>
              </w:rPr>
            </w:pPr>
          </w:p>
        </w:tc>
      </w:tr>
      <w:tr w14:paraId="63C4837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339A8C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323" w:type="pct"/>
            <w:tcBorders>
              <w:tl2br w:val="nil"/>
              <w:tr2bl w:val="nil"/>
            </w:tcBorders>
            <w:shd w:val="clear" w:color="auto" w:fill="auto"/>
            <w:vAlign w:val="center"/>
          </w:tcPr>
          <w:p w14:paraId="4EEFB4FB">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水土保持监测站网运行管护</w:t>
            </w:r>
          </w:p>
        </w:tc>
        <w:tc>
          <w:tcPr>
            <w:tcW w:w="294" w:type="pct"/>
            <w:tcBorders>
              <w:tl2br w:val="nil"/>
              <w:tr2bl w:val="nil"/>
            </w:tcBorders>
            <w:shd w:val="clear" w:color="auto" w:fill="auto"/>
            <w:vAlign w:val="center"/>
          </w:tcPr>
          <w:p w14:paraId="5375BF4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14:paraId="5ED7D6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vAlign w:val="center"/>
          </w:tcPr>
          <w:p w14:paraId="03FC0A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w:t>
            </w:r>
            <w:r>
              <w:rPr>
                <w:rStyle w:val="42"/>
                <w:rFonts w:hint="default" w:ascii="Times New Roman" w:hAnsi="Times New Roman" w:eastAsia="宋体" w:cs="Times New Roman"/>
                <w:color w:val="auto"/>
                <w:sz w:val="21"/>
                <w:szCs w:val="21"/>
                <w:lang w:val="en-US" w:eastAsia="zh-CN" w:bidi="ar"/>
              </w:rPr>
              <w:t>万元</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年</w:t>
            </w:r>
          </w:p>
        </w:tc>
        <w:tc>
          <w:tcPr>
            <w:tcW w:w="517" w:type="pct"/>
            <w:tcBorders>
              <w:tl2br w:val="nil"/>
              <w:tr2bl w:val="nil"/>
            </w:tcBorders>
            <w:shd w:val="clear" w:color="auto" w:fill="auto"/>
            <w:vAlign w:val="center"/>
          </w:tcPr>
          <w:p w14:paraId="250E009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2500</w:t>
            </w:r>
          </w:p>
        </w:tc>
        <w:tc>
          <w:tcPr>
            <w:tcW w:w="435" w:type="pct"/>
            <w:tcBorders>
              <w:tl2br w:val="nil"/>
              <w:tr2bl w:val="nil"/>
            </w:tcBorders>
            <w:shd w:val="clear" w:color="auto" w:fill="auto"/>
            <w:vAlign w:val="center"/>
          </w:tcPr>
          <w:p w14:paraId="3B19FA0E">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0A7815D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2500</w:t>
            </w:r>
          </w:p>
        </w:tc>
        <w:tc>
          <w:tcPr>
            <w:tcW w:w="716" w:type="pct"/>
            <w:tcBorders>
              <w:tl2br w:val="nil"/>
              <w:tr2bl w:val="nil"/>
            </w:tcBorders>
            <w:shd w:val="clear" w:color="auto" w:fill="auto"/>
            <w:noWrap/>
            <w:vAlign w:val="center"/>
          </w:tcPr>
          <w:p w14:paraId="50AA0B97">
            <w:pPr>
              <w:rPr>
                <w:rFonts w:hint="default" w:ascii="Times New Roman" w:hAnsi="Times New Roman" w:eastAsia="宋体" w:cs="Times New Roman"/>
                <w:i w:val="0"/>
                <w:iCs w:val="0"/>
                <w:color w:val="auto"/>
                <w:sz w:val="21"/>
                <w:szCs w:val="21"/>
                <w:u w:val="none"/>
              </w:rPr>
            </w:pPr>
          </w:p>
        </w:tc>
      </w:tr>
      <w:tr w14:paraId="08EEA58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0F5D97B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323" w:type="pct"/>
            <w:tcBorders>
              <w:tl2br w:val="nil"/>
              <w:tr2bl w:val="nil"/>
            </w:tcBorders>
            <w:shd w:val="clear" w:color="auto" w:fill="auto"/>
            <w:vAlign w:val="center"/>
          </w:tcPr>
          <w:p w14:paraId="5C87D88B">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水土保持调查</w:t>
            </w:r>
          </w:p>
        </w:tc>
        <w:tc>
          <w:tcPr>
            <w:tcW w:w="294" w:type="pct"/>
            <w:tcBorders>
              <w:tl2br w:val="nil"/>
              <w:tr2bl w:val="nil"/>
            </w:tcBorders>
            <w:shd w:val="clear" w:color="auto" w:fill="auto"/>
            <w:vAlign w:val="center"/>
          </w:tcPr>
          <w:p w14:paraId="1F80A5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14:paraId="3F65F2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vAlign w:val="center"/>
          </w:tcPr>
          <w:p w14:paraId="5A10DE9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w:t>
            </w:r>
            <w:r>
              <w:rPr>
                <w:rStyle w:val="42"/>
                <w:rFonts w:hint="default" w:ascii="Times New Roman" w:hAnsi="Times New Roman" w:eastAsia="宋体" w:cs="Times New Roman"/>
                <w:color w:val="auto"/>
                <w:sz w:val="21"/>
                <w:szCs w:val="21"/>
                <w:lang w:val="en-US" w:eastAsia="zh-CN" w:bidi="ar"/>
              </w:rPr>
              <w:t>万元</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年</w:t>
            </w:r>
          </w:p>
        </w:tc>
        <w:tc>
          <w:tcPr>
            <w:tcW w:w="517" w:type="pct"/>
            <w:tcBorders>
              <w:tl2br w:val="nil"/>
              <w:tr2bl w:val="nil"/>
            </w:tcBorders>
            <w:shd w:val="clear" w:color="auto" w:fill="auto"/>
            <w:vAlign w:val="center"/>
          </w:tcPr>
          <w:p w14:paraId="447738F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435" w:type="pct"/>
            <w:tcBorders>
              <w:tl2br w:val="nil"/>
              <w:tr2bl w:val="nil"/>
            </w:tcBorders>
            <w:shd w:val="clear" w:color="auto" w:fill="auto"/>
            <w:vAlign w:val="center"/>
          </w:tcPr>
          <w:p w14:paraId="12447D38">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077BAA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16" w:type="pct"/>
            <w:tcBorders>
              <w:tl2br w:val="nil"/>
              <w:tr2bl w:val="nil"/>
            </w:tcBorders>
            <w:shd w:val="clear" w:color="auto" w:fill="auto"/>
            <w:vAlign w:val="center"/>
          </w:tcPr>
          <w:p w14:paraId="4C28555D">
            <w:pPr>
              <w:jc w:val="center"/>
              <w:rPr>
                <w:rFonts w:hint="default" w:ascii="Times New Roman" w:hAnsi="Times New Roman" w:eastAsia="宋体" w:cs="Times New Roman"/>
                <w:i w:val="0"/>
                <w:iCs w:val="0"/>
                <w:color w:val="auto"/>
                <w:sz w:val="21"/>
                <w:szCs w:val="21"/>
                <w:u w:val="none"/>
              </w:rPr>
            </w:pPr>
          </w:p>
        </w:tc>
      </w:tr>
      <w:tr w14:paraId="128F6EE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2D232C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323" w:type="pct"/>
            <w:tcBorders>
              <w:tl2br w:val="nil"/>
              <w:tr2bl w:val="nil"/>
            </w:tcBorders>
            <w:shd w:val="clear" w:color="auto" w:fill="auto"/>
            <w:vAlign w:val="center"/>
          </w:tcPr>
          <w:p w14:paraId="120F40F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水土流失动态监测与公报</w:t>
            </w:r>
          </w:p>
        </w:tc>
        <w:tc>
          <w:tcPr>
            <w:tcW w:w="294" w:type="pct"/>
            <w:tcBorders>
              <w:tl2br w:val="nil"/>
              <w:tr2bl w:val="nil"/>
            </w:tcBorders>
            <w:shd w:val="clear" w:color="auto" w:fill="auto"/>
            <w:vAlign w:val="center"/>
          </w:tcPr>
          <w:p w14:paraId="301367E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14:paraId="0296F3C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vAlign w:val="center"/>
          </w:tcPr>
          <w:p w14:paraId="419BA64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r>
              <w:rPr>
                <w:rStyle w:val="42"/>
                <w:rFonts w:hint="default" w:ascii="Times New Roman" w:hAnsi="Times New Roman" w:eastAsia="宋体" w:cs="Times New Roman"/>
                <w:color w:val="auto"/>
                <w:sz w:val="21"/>
                <w:szCs w:val="21"/>
                <w:lang w:val="en-US" w:eastAsia="zh-CN" w:bidi="ar"/>
              </w:rPr>
              <w:t>万元</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年</w:t>
            </w:r>
          </w:p>
        </w:tc>
        <w:tc>
          <w:tcPr>
            <w:tcW w:w="517" w:type="pct"/>
            <w:tcBorders>
              <w:tl2br w:val="nil"/>
              <w:tr2bl w:val="nil"/>
            </w:tcBorders>
            <w:shd w:val="clear" w:color="auto" w:fill="auto"/>
            <w:vAlign w:val="center"/>
          </w:tcPr>
          <w:p w14:paraId="74FBDB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160</w:t>
            </w:r>
          </w:p>
        </w:tc>
        <w:tc>
          <w:tcPr>
            <w:tcW w:w="435" w:type="pct"/>
            <w:tcBorders>
              <w:tl2br w:val="nil"/>
              <w:tr2bl w:val="nil"/>
            </w:tcBorders>
            <w:shd w:val="clear" w:color="auto" w:fill="auto"/>
            <w:vAlign w:val="center"/>
          </w:tcPr>
          <w:p w14:paraId="16A1BC1B">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5D29A79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160</w:t>
            </w:r>
          </w:p>
        </w:tc>
        <w:tc>
          <w:tcPr>
            <w:tcW w:w="716" w:type="pct"/>
            <w:tcBorders>
              <w:tl2br w:val="nil"/>
              <w:tr2bl w:val="nil"/>
            </w:tcBorders>
            <w:shd w:val="clear" w:color="auto" w:fill="auto"/>
            <w:noWrap/>
            <w:vAlign w:val="center"/>
          </w:tcPr>
          <w:p w14:paraId="724D288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监测</w:t>
            </w:r>
            <w:r>
              <w:rPr>
                <w:rStyle w:val="44"/>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次，发布公报</w:t>
            </w:r>
            <w:r>
              <w:rPr>
                <w:rStyle w:val="44"/>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次</w:t>
            </w:r>
          </w:p>
        </w:tc>
      </w:tr>
      <w:tr w14:paraId="3D738BF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2D2B748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323" w:type="pct"/>
            <w:tcBorders>
              <w:tl2br w:val="nil"/>
              <w:tr2bl w:val="nil"/>
            </w:tcBorders>
            <w:shd w:val="clear" w:color="auto" w:fill="auto"/>
            <w:vAlign w:val="center"/>
          </w:tcPr>
          <w:p w14:paraId="465A7DE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重点区域监测</w:t>
            </w:r>
          </w:p>
        </w:tc>
        <w:tc>
          <w:tcPr>
            <w:tcW w:w="294" w:type="pct"/>
            <w:tcBorders>
              <w:tl2br w:val="nil"/>
              <w:tr2bl w:val="nil"/>
            </w:tcBorders>
            <w:shd w:val="clear" w:color="auto" w:fill="auto"/>
            <w:vAlign w:val="center"/>
          </w:tcPr>
          <w:p w14:paraId="00D10EB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14:paraId="410BDF1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vAlign w:val="center"/>
          </w:tcPr>
          <w:p w14:paraId="37683E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r>
              <w:rPr>
                <w:rStyle w:val="42"/>
                <w:rFonts w:hint="default" w:ascii="Times New Roman" w:hAnsi="Times New Roman" w:eastAsia="宋体" w:cs="Times New Roman"/>
                <w:color w:val="auto"/>
                <w:sz w:val="21"/>
                <w:szCs w:val="21"/>
                <w:lang w:val="en-US" w:eastAsia="zh-CN" w:bidi="ar"/>
              </w:rPr>
              <w:t>万元</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个</w:t>
            </w:r>
          </w:p>
        </w:tc>
        <w:tc>
          <w:tcPr>
            <w:tcW w:w="517" w:type="pct"/>
            <w:tcBorders>
              <w:tl2br w:val="nil"/>
              <w:tr2bl w:val="nil"/>
            </w:tcBorders>
            <w:shd w:val="clear" w:color="auto" w:fill="auto"/>
            <w:vAlign w:val="center"/>
          </w:tcPr>
          <w:p w14:paraId="544A84C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435" w:type="pct"/>
            <w:tcBorders>
              <w:tl2br w:val="nil"/>
              <w:tr2bl w:val="nil"/>
            </w:tcBorders>
            <w:shd w:val="clear" w:color="auto" w:fill="auto"/>
            <w:vAlign w:val="center"/>
          </w:tcPr>
          <w:p w14:paraId="12358281">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61EF564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716" w:type="pct"/>
            <w:tcBorders>
              <w:tl2br w:val="nil"/>
              <w:tr2bl w:val="nil"/>
            </w:tcBorders>
            <w:shd w:val="clear" w:color="auto" w:fill="auto"/>
            <w:noWrap/>
            <w:vAlign w:val="center"/>
          </w:tcPr>
          <w:p w14:paraId="48CA0BF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w:t>
            </w:r>
            <w:r>
              <w:rPr>
                <w:rStyle w:val="44"/>
                <w:rFonts w:hint="default" w:ascii="Times New Roman" w:hAnsi="Times New Roman" w:eastAsia="宋体" w:cs="Times New Roman"/>
                <w:color w:val="auto"/>
                <w:sz w:val="21"/>
                <w:szCs w:val="21"/>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个</w:t>
            </w:r>
          </w:p>
        </w:tc>
      </w:tr>
      <w:tr w14:paraId="3244A20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134465D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1323" w:type="pct"/>
            <w:tcBorders>
              <w:tl2br w:val="nil"/>
              <w:tr2bl w:val="nil"/>
            </w:tcBorders>
            <w:shd w:val="clear" w:color="auto" w:fill="auto"/>
            <w:vAlign w:val="center"/>
          </w:tcPr>
          <w:p w14:paraId="750B62C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生产建设项目监督性监测</w:t>
            </w:r>
          </w:p>
        </w:tc>
        <w:tc>
          <w:tcPr>
            <w:tcW w:w="294" w:type="pct"/>
            <w:tcBorders>
              <w:tl2br w:val="nil"/>
              <w:tr2bl w:val="nil"/>
            </w:tcBorders>
            <w:shd w:val="clear" w:color="auto" w:fill="auto"/>
            <w:vAlign w:val="center"/>
          </w:tcPr>
          <w:p w14:paraId="3CB7E4C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14:paraId="7C8845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659" w:type="pct"/>
            <w:tcBorders>
              <w:tl2br w:val="nil"/>
              <w:tr2bl w:val="nil"/>
            </w:tcBorders>
            <w:shd w:val="clear" w:color="auto" w:fill="auto"/>
            <w:noWrap/>
            <w:vAlign w:val="center"/>
          </w:tcPr>
          <w:p w14:paraId="4EAAFEE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30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p>
        </w:tc>
        <w:tc>
          <w:tcPr>
            <w:tcW w:w="517" w:type="pct"/>
            <w:tcBorders>
              <w:tl2br w:val="nil"/>
              <w:tr2bl w:val="nil"/>
            </w:tcBorders>
            <w:shd w:val="clear" w:color="auto" w:fill="auto"/>
            <w:vAlign w:val="center"/>
          </w:tcPr>
          <w:p w14:paraId="1810C62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3000</w:t>
            </w:r>
          </w:p>
        </w:tc>
        <w:tc>
          <w:tcPr>
            <w:tcW w:w="435" w:type="pct"/>
            <w:tcBorders>
              <w:tl2br w:val="nil"/>
              <w:tr2bl w:val="nil"/>
            </w:tcBorders>
            <w:shd w:val="clear" w:color="auto" w:fill="auto"/>
            <w:vAlign w:val="center"/>
          </w:tcPr>
          <w:p w14:paraId="710EACB0">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6321565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3000</w:t>
            </w:r>
          </w:p>
        </w:tc>
        <w:tc>
          <w:tcPr>
            <w:tcW w:w="716" w:type="pct"/>
            <w:tcBorders>
              <w:tl2br w:val="nil"/>
              <w:tr2bl w:val="nil"/>
            </w:tcBorders>
            <w:shd w:val="clear" w:color="auto" w:fill="auto"/>
            <w:noWrap/>
            <w:vAlign w:val="center"/>
          </w:tcPr>
          <w:p w14:paraId="40A6A8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w:t>
            </w:r>
            <w:r>
              <w:rPr>
                <w:rStyle w:val="44"/>
                <w:rFonts w:hint="default" w:ascii="Times New Roman" w:hAnsi="Times New Roman" w:eastAsia="宋体" w:cs="Times New Roman"/>
                <w:color w:val="auto"/>
                <w:sz w:val="21"/>
                <w:szCs w:val="21"/>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个</w:t>
            </w:r>
          </w:p>
        </w:tc>
      </w:tr>
      <w:tr w14:paraId="7883802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44D89D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323" w:type="pct"/>
            <w:tcBorders>
              <w:tl2br w:val="nil"/>
              <w:tr2bl w:val="nil"/>
            </w:tcBorders>
            <w:shd w:val="clear" w:color="auto" w:fill="auto"/>
            <w:vAlign w:val="center"/>
          </w:tcPr>
          <w:p w14:paraId="3C0986F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应急案件查处监测</w:t>
            </w:r>
          </w:p>
        </w:tc>
        <w:tc>
          <w:tcPr>
            <w:tcW w:w="294" w:type="pct"/>
            <w:tcBorders>
              <w:tl2br w:val="nil"/>
              <w:tr2bl w:val="nil"/>
            </w:tcBorders>
            <w:shd w:val="clear" w:color="auto" w:fill="auto"/>
            <w:vAlign w:val="center"/>
          </w:tcPr>
          <w:p w14:paraId="4F6E46F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14:paraId="62DAE43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59" w:type="pct"/>
            <w:tcBorders>
              <w:tl2br w:val="nil"/>
              <w:tr2bl w:val="nil"/>
            </w:tcBorders>
            <w:shd w:val="clear" w:color="auto" w:fill="auto"/>
            <w:noWrap/>
            <w:vAlign w:val="center"/>
          </w:tcPr>
          <w:p w14:paraId="09ECD0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30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p>
        </w:tc>
        <w:tc>
          <w:tcPr>
            <w:tcW w:w="517" w:type="pct"/>
            <w:tcBorders>
              <w:tl2br w:val="nil"/>
              <w:tr2bl w:val="nil"/>
            </w:tcBorders>
            <w:shd w:val="clear" w:color="auto" w:fill="auto"/>
            <w:vAlign w:val="center"/>
          </w:tcPr>
          <w:p w14:paraId="137C15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435" w:type="pct"/>
            <w:tcBorders>
              <w:tl2br w:val="nil"/>
              <w:tr2bl w:val="nil"/>
            </w:tcBorders>
            <w:shd w:val="clear" w:color="auto" w:fill="auto"/>
            <w:vAlign w:val="center"/>
          </w:tcPr>
          <w:p w14:paraId="78A1AC76">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4C91D6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16" w:type="pct"/>
            <w:tcBorders>
              <w:tl2br w:val="nil"/>
              <w:tr2bl w:val="nil"/>
            </w:tcBorders>
            <w:shd w:val="clear" w:color="auto" w:fill="auto"/>
            <w:noWrap/>
            <w:vAlign w:val="center"/>
          </w:tcPr>
          <w:p w14:paraId="517B61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w:t>
            </w:r>
            <w:r>
              <w:rPr>
                <w:rStyle w:val="44"/>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个</w:t>
            </w:r>
          </w:p>
        </w:tc>
      </w:tr>
      <w:tr w14:paraId="0F32E08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76BC612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五</w:t>
            </w:r>
          </w:p>
        </w:tc>
        <w:tc>
          <w:tcPr>
            <w:tcW w:w="1323" w:type="pct"/>
            <w:tcBorders>
              <w:tl2br w:val="nil"/>
              <w:tr2bl w:val="nil"/>
            </w:tcBorders>
            <w:shd w:val="clear" w:color="auto" w:fill="auto"/>
            <w:vAlign w:val="center"/>
          </w:tcPr>
          <w:p w14:paraId="07EE300E">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信息化建设（水土保持大数据平台升级维护）</w:t>
            </w:r>
          </w:p>
        </w:tc>
        <w:tc>
          <w:tcPr>
            <w:tcW w:w="294" w:type="pct"/>
            <w:tcBorders>
              <w:tl2br w:val="nil"/>
              <w:tr2bl w:val="nil"/>
            </w:tcBorders>
            <w:shd w:val="clear" w:color="auto" w:fill="auto"/>
            <w:vAlign w:val="center"/>
          </w:tcPr>
          <w:p w14:paraId="4400827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年</w:t>
            </w:r>
          </w:p>
        </w:tc>
        <w:tc>
          <w:tcPr>
            <w:tcW w:w="300" w:type="pct"/>
            <w:tcBorders>
              <w:tl2br w:val="nil"/>
              <w:tr2bl w:val="nil"/>
            </w:tcBorders>
            <w:shd w:val="clear" w:color="auto" w:fill="auto"/>
            <w:vAlign w:val="center"/>
          </w:tcPr>
          <w:p w14:paraId="0B7E1C5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5</w:t>
            </w:r>
          </w:p>
        </w:tc>
        <w:tc>
          <w:tcPr>
            <w:tcW w:w="659" w:type="pct"/>
            <w:tcBorders>
              <w:tl2br w:val="nil"/>
              <w:tr2bl w:val="nil"/>
            </w:tcBorders>
            <w:shd w:val="clear" w:color="auto" w:fill="auto"/>
            <w:vAlign w:val="center"/>
          </w:tcPr>
          <w:p w14:paraId="036C7E8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148万元/年</w:t>
            </w:r>
          </w:p>
        </w:tc>
        <w:tc>
          <w:tcPr>
            <w:tcW w:w="517" w:type="pct"/>
            <w:tcBorders>
              <w:tl2br w:val="nil"/>
              <w:tr2bl w:val="nil"/>
            </w:tcBorders>
            <w:shd w:val="clear" w:color="auto" w:fill="auto"/>
            <w:vAlign w:val="center"/>
          </w:tcPr>
          <w:p w14:paraId="3A79131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740</w:t>
            </w:r>
          </w:p>
        </w:tc>
        <w:tc>
          <w:tcPr>
            <w:tcW w:w="435" w:type="pct"/>
            <w:tcBorders>
              <w:tl2br w:val="nil"/>
              <w:tr2bl w:val="nil"/>
            </w:tcBorders>
            <w:shd w:val="clear" w:color="auto" w:fill="auto"/>
            <w:vAlign w:val="center"/>
          </w:tcPr>
          <w:p w14:paraId="5DA7B4F3">
            <w:pPr>
              <w:jc w:val="center"/>
              <w:rPr>
                <w:rFonts w:hint="default" w:ascii="Times New Roman" w:hAnsi="Times New Roman" w:eastAsia="宋体" w:cs="Times New Roman"/>
                <w:b/>
                <w:bCs/>
                <w:i w:val="0"/>
                <w:iCs w:val="0"/>
                <w:color w:val="auto"/>
                <w:sz w:val="21"/>
                <w:szCs w:val="21"/>
                <w:u w:val="none"/>
              </w:rPr>
            </w:pPr>
          </w:p>
        </w:tc>
        <w:tc>
          <w:tcPr>
            <w:tcW w:w="440" w:type="pct"/>
            <w:tcBorders>
              <w:tl2br w:val="nil"/>
              <w:tr2bl w:val="nil"/>
            </w:tcBorders>
            <w:shd w:val="clear" w:color="auto" w:fill="auto"/>
            <w:vAlign w:val="center"/>
          </w:tcPr>
          <w:p w14:paraId="2FF57C4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740</w:t>
            </w:r>
          </w:p>
        </w:tc>
        <w:tc>
          <w:tcPr>
            <w:tcW w:w="716" w:type="pct"/>
            <w:tcBorders>
              <w:tl2br w:val="nil"/>
              <w:tr2bl w:val="nil"/>
            </w:tcBorders>
            <w:shd w:val="clear" w:color="auto" w:fill="auto"/>
            <w:vAlign w:val="center"/>
          </w:tcPr>
          <w:p w14:paraId="47B51EB3">
            <w:pPr>
              <w:jc w:val="center"/>
              <w:rPr>
                <w:rFonts w:hint="default" w:ascii="Times New Roman" w:hAnsi="Times New Roman" w:eastAsia="宋体" w:cs="Times New Roman"/>
                <w:b/>
                <w:bCs/>
                <w:i w:val="0"/>
                <w:iCs w:val="0"/>
                <w:color w:val="auto"/>
                <w:sz w:val="21"/>
                <w:szCs w:val="21"/>
                <w:u w:val="none"/>
              </w:rPr>
            </w:pPr>
          </w:p>
        </w:tc>
      </w:tr>
      <w:tr w14:paraId="1AD701A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5D54ABA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六</w:t>
            </w:r>
          </w:p>
        </w:tc>
        <w:tc>
          <w:tcPr>
            <w:tcW w:w="1323" w:type="pct"/>
            <w:tcBorders>
              <w:tl2br w:val="nil"/>
              <w:tr2bl w:val="nil"/>
            </w:tcBorders>
            <w:shd w:val="clear" w:color="auto" w:fill="auto"/>
            <w:vAlign w:val="center"/>
          </w:tcPr>
          <w:p w14:paraId="728C3710">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科技支撑和能力建设</w:t>
            </w:r>
          </w:p>
        </w:tc>
        <w:tc>
          <w:tcPr>
            <w:tcW w:w="294" w:type="pct"/>
            <w:tcBorders>
              <w:tl2br w:val="nil"/>
              <w:tr2bl w:val="nil"/>
            </w:tcBorders>
            <w:shd w:val="clear" w:color="auto" w:fill="auto"/>
            <w:vAlign w:val="center"/>
          </w:tcPr>
          <w:p w14:paraId="7AF49716">
            <w:pPr>
              <w:rPr>
                <w:rFonts w:hint="default" w:ascii="Times New Roman" w:hAnsi="Times New Roman" w:eastAsia="宋体" w:cs="Times New Roman"/>
                <w:b/>
                <w:bCs/>
                <w:i w:val="0"/>
                <w:iCs w:val="0"/>
                <w:color w:val="auto"/>
                <w:sz w:val="21"/>
                <w:szCs w:val="21"/>
                <w:u w:val="none"/>
              </w:rPr>
            </w:pPr>
          </w:p>
        </w:tc>
        <w:tc>
          <w:tcPr>
            <w:tcW w:w="300" w:type="pct"/>
            <w:tcBorders>
              <w:tl2br w:val="nil"/>
              <w:tr2bl w:val="nil"/>
            </w:tcBorders>
            <w:shd w:val="clear" w:color="auto" w:fill="auto"/>
            <w:vAlign w:val="center"/>
          </w:tcPr>
          <w:p w14:paraId="7C6D9745">
            <w:pPr>
              <w:rPr>
                <w:rFonts w:hint="default" w:ascii="Times New Roman" w:hAnsi="Times New Roman" w:eastAsia="宋体" w:cs="Times New Roman"/>
                <w:b/>
                <w:bCs/>
                <w:i w:val="0"/>
                <w:iCs w:val="0"/>
                <w:color w:val="auto"/>
                <w:sz w:val="21"/>
                <w:szCs w:val="21"/>
                <w:u w:val="none"/>
              </w:rPr>
            </w:pPr>
          </w:p>
        </w:tc>
        <w:tc>
          <w:tcPr>
            <w:tcW w:w="659" w:type="pct"/>
            <w:tcBorders>
              <w:tl2br w:val="nil"/>
              <w:tr2bl w:val="nil"/>
            </w:tcBorders>
            <w:shd w:val="clear" w:color="auto" w:fill="auto"/>
            <w:vAlign w:val="center"/>
          </w:tcPr>
          <w:p w14:paraId="2C5A0818">
            <w:pP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14:paraId="6D05D11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10670</w:t>
            </w:r>
          </w:p>
        </w:tc>
        <w:tc>
          <w:tcPr>
            <w:tcW w:w="435" w:type="pct"/>
            <w:tcBorders>
              <w:tl2br w:val="nil"/>
              <w:tr2bl w:val="nil"/>
            </w:tcBorders>
            <w:shd w:val="clear" w:color="auto" w:fill="auto"/>
            <w:vAlign w:val="center"/>
          </w:tcPr>
          <w:p w14:paraId="6D41FB3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9180</w:t>
            </w:r>
          </w:p>
        </w:tc>
        <w:tc>
          <w:tcPr>
            <w:tcW w:w="440" w:type="pct"/>
            <w:tcBorders>
              <w:tl2br w:val="nil"/>
              <w:tr2bl w:val="nil"/>
            </w:tcBorders>
            <w:shd w:val="clear" w:color="auto" w:fill="auto"/>
            <w:vAlign w:val="center"/>
          </w:tcPr>
          <w:p w14:paraId="2F10382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1490</w:t>
            </w:r>
          </w:p>
        </w:tc>
        <w:tc>
          <w:tcPr>
            <w:tcW w:w="716" w:type="pct"/>
            <w:tcBorders>
              <w:tl2br w:val="nil"/>
              <w:tr2bl w:val="nil"/>
            </w:tcBorders>
            <w:shd w:val="clear" w:color="auto" w:fill="auto"/>
            <w:noWrap/>
            <w:vAlign w:val="center"/>
          </w:tcPr>
          <w:p w14:paraId="69861612">
            <w:pPr>
              <w:rPr>
                <w:rFonts w:hint="default" w:ascii="Times New Roman" w:hAnsi="Times New Roman" w:eastAsia="宋体" w:cs="Times New Roman"/>
                <w:i w:val="0"/>
                <w:iCs w:val="0"/>
                <w:color w:val="auto"/>
                <w:sz w:val="21"/>
                <w:szCs w:val="21"/>
                <w:u w:val="none"/>
              </w:rPr>
            </w:pPr>
          </w:p>
        </w:tc>
      </w:tr>
      <w:tr w14:paraId="478BEB7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047FEE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323" w:type="pct"/>
            <w:tcBorders>
              <w:tl2br w:val="nil"/>
              <w:tr2bl w:val="nil"/>
            </w:tcBorders>
            <w:shd w:val="clear" w:color="auto" w:fill="auto"/>
            <w:vAlign w:val="center"/>
          </w:tcPr>
          <w:p w14:paraId="34A3B3F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基础研究、技术推广</w:t>
            </w:r>
          </w:p>
        </w:tc>
        <w:tc>
          <w:tcPr>
            <w:tcW w:w="294" w:type="pct"/>
            <w:tcBorders>
              <w:tl2br w:val="nil"/>
              <w:tr2bl w:val="nil"/>
            </w:tcBorders>
            <w:shd w:val="clear" w:color="auto" w:fill="auto"/>
            <w:vAlign w:val="center"/>
          </w:tcPr>
          <w:p w14:paraId="3F25400E">
            <w:pPr>
              <w:rPr>
                <w:rFonts w:hint="default" w:ascii="Times New Roman" w:hAnsi="Times New Roman" w:eastAsia="宋体" w:cs="Times New Roman"/>
                <w:i w:val="0"/>
                <w:iCs w:val="0"/>
                <w:color w:val="auto"/>
                <w:sz w:val="21"/>
                <w:szCs w:val="21"/>
                <w:u w:val="none"/>
              </w:rPr>
            </w:pPr>
          </w:p>
        </w:tc>
        <w:tc>
          <w:tcPr>
            <w:tcW w:w="300" w:type="pct"/>
            <w:tcBorders>
              <w:tl2br w:val="nil"/>
              <w:tr2bl w:val="nil"/>
            </w:tcBorders>
            <w:shd w:val="clear" w:color="auto" w:fill="auto"/>
            <w:vAlign w:val="center"/>
          </w:tcPr>
          <w:p w14:paraId="42504C98">
            <w:pPr>
              <w:rPr>
                <w:rFonts w:hint="default" w:ascii="Times New Roman" w:hAnsi="Times New Roman" w:eastAsia="宋体" w:cs="Times New Roman"/>
                <w:i w:val="0"/>
                <w:iCs w:val="0"/>
                <w:color w:val="auto"/>
                <w:sz w:val="21"/>
                <w:szCs w:val="21"/>
                <w:u w:val="none"/>
              </w:rPr>
            </w:pPr>
          </w:p>
        </w:tc>
        <w:tc>
          <w:tcPr>
            <w:tcW w:w="659" w:type="pct"/>
            <w:tcBorders>
              <w:tl2br w:val="nil"/>
              <w:tr2bl w:val="nil"/>
            </w:tcBorders>
            <w:shd w:val="clear" w:color="auto" w:fill="auto"/>
            <w:vAlign w:val="center"/>
          </w:tcPr>
          <w:p w14:paraId="0213290C">
            <w:pPr>
              <w:rPr>
                <w:rFonts w:hint="default" w:ascii="Times New Roman" w:hAnsi="Times New Roman" w:eastAsia="宋体" w:cs="Times New Roman"/>
                <w:i w:val="0"/>
                <w:iCs w:val="0"/>
                <w:color w:val="auto"/>
                <w:sz w:val="21"/>
                <w:szCs w:val="21"/>
                <w:u w:val="none"/>
              </w:rPr>
            </w:pPr>
          </w:p>
        </w:tc>
        <w:tc>
          <w:tcPr>
            <w:tcW w:w="517" w:type="pct"/>
            <w:tcBorders>
              <w:tl2br w:val="nil"/>
              <w:tr2bl w:val="nil"/>
            </w:tcBorders>
            <w:shd w:val="clear" w:color="auto" w:fill="auto"/>
            <w:vAlign w:val="center"/>
          </w:tcPr>
          <w:p w14:paraId="5C911C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640</w:t>
            </w:r>
          </w:p>
        </w:tc>
        <w:tc>
          <w:tcPr>
            <w:tcW w:w="435" w:type="pct"/>
            <w:tcBorders>
              <w:tl2br w:val="nil"/>
              <w:tr2bl w:val="nil"/>
            </w:tcBorders>
            <w:shd w:val="clear" w:color="auto" w:fill="auto"/>
            <w:vAlign w:val="center"/>
          </w:tcPr>
          <w:p w14:paraId="22492C39">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3274B7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640</w:t>
            </w:r>
          </w:p>
        </w:tc>
        <w:tc>
          <w:tcPr>
            <w:tcW w:w="716" w:type="pct"/>
            <w:tcBorders>
              <w:tl2br w:val="nil"/>
              <w:tr2bl w:val="nil"/>
            </w:tcBorders>
            <w:shd w:val="clear" w:color="auto" w:fill="auto"/>
            <w:noWrap/>
            <w:vAlign w:val="center"/>
          </w:tcPr>
          <w:p w14:paraId="3BDFDEC7">
            <w:pPr>
              <w:rPr>
                <w:rFonts w:hint="default" w:ascii="Times New Roman" w:hAnsi="Times New Roman" w:eastAsia="宋体" w:cs="Times New Roman"/>
                <w:i w:val="0"/>
                <w:iCs w:val="0"/>
                <w:color w:val="auto"/>
                <w:sz w:val="21"/>
                <w:szCs w:val="21"/>
                <w:u w:val="none"/>
              </w:rPr>
            </w:pPr>
          </w:p>
        </w:tc>
      </w:tr>
      <w:tr w14:paraId="01D4F20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551E1D8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w:t>
            </w:r>
            <w:r>
              <w:rPr>
                <w:rStyle w:val="43"/>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212C2CD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关键技术研究</w:t>
            </w:r>
          </w:p>
        </w:tc>
        <w:tc>
          <w:tcPr>
            <w:tcW w:w="294" w:type="pct"/>
            <w:tcBorders>
              <w:tl2br w:val="nil"/>
              <w:tr2bl w:val="nil"/>
            </w:tcBorders>
            <w:shd w:val="clear" w:color="auto" w:fill="auto"/>
            <w:vAlign w:val="center"/>
          </w:tcPr>
          <w:p w14:paraId="4449BF4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项</w:t>
            </w:r>
          </w:p>
        </w:tc>
        <w:tc>
          <w:tcPr>
            <w:tcW w:w="300" w:type="pct"/>
            <w:tcBorders>
              <w:tl2br w:val="nil"/>
              <w:tr2bl w:val="nil"/>
            </w:tcBorders>
            <w:shd w:val="clear" w:color="auto" w:fill="auto"/>
            <w:vAlign w:val="center"/>
          </w:tcPr>
          <w:p w14:paraId="5281F94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659" w:type="pct"/>
            <w:tcBorders>
              <w:tl2br w:val="nil"/>
              <w:tr2bl w:val="nil"/>
            </w:tcBorders>
            <w:shd w:val="clear" w:color="auto" w:fill="auto"/>
            <w:noWrap/>
            <w:vAlign w:val="center"/>
          </w:tcPr>
          <w:p w14:paraId="7EB48C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50万元/个</w:t>
            </w:r>
          </w:p>
        </w:tc>
        <w:tc>
          <w:tcPr>
            <w:tcW w:w="517" w:type="pct"/>
            <w:tcBorders>
              <w:tl2br w:val="nil"/>
              <w:tr2bl w:val="nil"/>
            </w:tcBorders>
            <w:shd w:val="clear" w:color="auto" w:fill="auto"/>
            <w:vAlign w:val="center"/>
          </w:tcPr>
          <w:p w14:paraId="490356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435" w:type="pct"/>
            <w:tcBorders>
              <w:tl2br w:val="nil"/>
              <w:tr2bl w:val="nil"/>
            </w:tcBorders>
            <w:shd w:val="clear" w:color="auto" w:fill="auto"/>
            <w:vAlign w:val="center"/>
          </w:tcPr>
          <w:p w14:paraId="23C7BD97">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46A130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716" w:type="pct"/>
            <w:tcBorders>
              <w:tl2br w:val="nil"/>
              <w:tr2bl w:val="nil"/>
            </w:tcBorders>
            <w:shd w:val="clear" w:color="auto" w:fill="auto"/>
            <w:noWrap/>
            <w:vAlign w:val="center"/>
          </w:tcPr>
          <w:p w14:paraId="3D66CE96">
            <w:pPr>
              <w:jc w:val="center"/>
              <w:rPr>
                <w:rFonts w:hint="default" w:ascii="Times New Roman" w:hAnsi="Times New Roman" w:eastAsia="宋体" w:cs="Times New Roman"/>
                <w:i w:val="0"/>
                <w:iCs w:val="0"/>
                <w:color w:val="auto"/>
                <w:sz w:val="21"/>
                <w:szCs w:val="21"/>
                <w:u w:val="none"/>
              </w:rPr>
            </w:pPr>
          </w:p>
        </w:tc>
      </w:tr>
      <w:tr w14:paraId="71707A1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56162A6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53413F8A">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省内</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路</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池</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果</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生态蓄水池</w:t>
            </w:r>
            <w:r>
              <w:rPr>
                <w:rFonts w:hint="default" w:ascii="Times New Roman" w:hAnsi="Times New Roman" w:eastAsia="宋体" w:cs="Times New Roman"/>
                <w:i w:val="0"/>
                <w:iCs w:val="0"/>
                <w:color w:val="auto"/>
                <w:kern w:val="0"/>
                <w:sz w:val="21"/>
                <w:szCs w:val="21"/>
                <w:u w:val="none"/>
                <w:lang w:val="en-US" w:eastAsia="zh-CN" w:bidi="ar"/>
              </w:rPr>
              <w:t>”</w:t>
            </w:r>
            <w:r>
              <w:rPr>
                <w:rStyle w:val="42"/>
                <w:rFonts w:hint="default" w:ascii="Times New Roman" w:hAnsi="Times New Roman" w:eastAsia="宋体" w:cs="Times New Roman"/>
                <w:color w:val="auto"/>
                <w:sz w:val="21"/>
                <w:szCs w:val="21"/>
                <w:lang w:val="en-US" w:eastAsia="zh-CN" w:bidi="ar"/>
              </w:rPr>
              <w:t>等成熟技术的交流培训和运用推广</w:t>
            </w:r>
          </w:p>
        </w:tc>
        <w:tc>
          <w:tcPr>
            <w:tcW w:w="294" w:type="pct"/>
            <w:tcBorders>
              <w:tl2br w:val="nil"/>
              <w:tr2bl w:val="nil"/>
            </w:tcBorders>
            <w:shd w:val="clear" w:color="auto" w:fill="auto"/>
            <w:vAlign w:val="center"/>
          </w:tcPr>
          <w:p w14:paraId="104158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次</w:t>
            </w:r>
          </w:p>
        </w:tc>
        <w:tc>
          <w:tcPr>
            <w:tcW w:w="300" w:type="pct"/>
            <w:tcBorders>
              <w:tl2br w:val="nil"/>
              <w:tr2bl w:val="nil"/>
            </w:tcBorders>
            <w:shd w:val="clear" w:color="auto" w:fill="auto"/>
            <w:vAlign w:val="center"/>
          </w:tcPr>
          <w:p w14:paraId="06DD96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59" w:type="pct"/>
            <w:tcBorders>
              <w:tl2br w:val="nil"/>
              <w:tr2bl w:val="nil"/>
            </w:tcBorders>
            <w:shd w:val="clear" w:color="auto" w:fill="auto"/>
            <w:noWrap/>
            <w:vAlign w:val="center"/>
          </w:tcPr>
          <w:p w14:paraId="12DA1F9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次</w:t>
            </w:r>
          </w:p>
        </w:tc>
        <w:tc>
          <w:tcPr>
            <w:tcW w:w="517" w:type="pct"/>
            <w:tcBorders>
              <w:tl2br w:val="nil"/>
              <w:tr2bl w:val="nil"/>
            </w:tcBorders>
            <w:shd w:val="clear" w:color="auto" w:fill="auto"/>
            <w:vAlign w:val="center"/>
          </w:tcPr>
          <w:p w14:paraId="36887FA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435" w:type="pct"/>
            <w:tcBorders>
              <w:tl2br w:val="nil"/>
              <w:tr2bl w:val="nil"/>
            </w:tcBorders>
            <w:shd w:val="clear" w:color="auto" w:fill="auto"/>
            <w:vAlign w:val="center"/>
          </w:tcPr>
          <w:p w14:paraId="5948E14F">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451F20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716" w:type="pct"/>
            <w:tcBorders>
              <w:tl2br w:val="nil"/>
              <w:tr2bl w:val="nil"/>
            </w:tcBorders>
            <w:shd w:val="clear" w:color="auto" w:fill="auto"/>
            <w:noWrap/>
            <w:vAlign w:val="center"/>
          </w:tcPr>
          <w:p w14:paraId="322EC10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w:t>
            </w:r>
            <w:r>
              <w:rPr>
                <w:rStyle w:val="44"/>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次</w:t>
            </w:r>
          </w:p>
        </w:tc>
      </w:tr>
      <w:tr w14:paraId="0BEB79C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3DE2810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3</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4183DF8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孪生流域水土保持能力建设</w:t>
            </w:r>
          </w:p>
        </w:tc>
        <w:tc>
          <w:tcPr>
            <w:tcW w:w="294" w:type="pct"/>
            <w:tcBorders>
              <w:tl2br w:val="nil"/>
              <w:tr2bl w:val="nil"/>
            </w:tcBorders>
            <w:shd w:val="clear" w:color="auto" w:fill="auto"/>
            <w:vAlign w:val="center"/>
          </w:tcPr>
          <w:p w14:paraId="680A96B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14:paraId="1D1A22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noWrap/>
            <w:vAlign w:val="center"/>
          </w:tcPr>
          <w:p w14:paraId="36F97F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68</w:t>
            </w:r>
            <w:r>
              <w:rPr>
                <w:rFonts w:hint="default" w:ascii="Times New Roman" w:hAnsi="Times New Roman" w:eastAsia="宋体" w:cs="Times New Roman"/>
                <w:i w:val="0"/>
                <w:iCs w:val="0"/>
                <w:color w:val="auto"/>
                <w:kern w:val="0"/>
                <w:sz w:val="21"/>
                <w:szCs w:val="21"/>
                <w:u w:val="none"/>
                <w:lang w:val="en-US" w:eastAsia="zh-CN" w:bidi="ar"/>
              </w:rPr>
              <w:t>万</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年</w:t>
            </w:r>
          </w:p>
        </w:tc>
        <w:tc>
          <w:tcPr>
            <w:tcW w:w="517" w:type="pct"/>
            <w:tcBorders>
              <w:tl2br w:val="nil"/>
              <w:tr2bl w:val="nil"/>
            </w:tcBorders>
            <w:shd w:val="clear" w:color="auto" w:fill="auto"/>
            <w:vAlign w:val="center"/>
          </w:tcPr>
          <w:p w14:paraId="412B0BB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340</w:t>
            </w:r>
          </w:p>
        </w:tc>
        <w:tc>
          <w:tcPr>
            <w:tcW w:w="435" w:type="pct"/>
            <w:tcBorders>
              <w:tl2br w:val="nil"/>
              <w:tr2bl w:val="nil"/>
            </w:tcBorders>
            <w:shd w:val="clear" w:color="auto" w:fill="auto"/>
            <w:vAlign w:val="center"/>
          </w:tcPr>
          <w:p w14:paraId="3199BEC3">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38074C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340</w:t>
            </w:r>
          </w:p>
        </w:tc>
        <w:tc>
          <w:tcPr>
            <w:tcW w:w="716" w:type="pct"/>
            <w:tcBorders>
              <w:tl2br w:val="nil"/>
              <w:tr2bl w:val="nil"/>
            </w:tcBorders>
            <w:shd w:val="clear" w:color="auto" w:fill="auto"/>
            <w:noWrap/>
            <w:vAlign w:val="center"/>
          </w:tcPr>
          <w:p w14:paraId="1955E091">
            <w:pPr>
              <w:jc w:val="center"/>
              <w:rPr>
                <w:rFonts w:hint="default" w:ascii="Times New Roman" w:hAnsi="Times New Roman" w:eastAsia="宋体" w:cs="Times New Roman"/>
                <w:i w:val="0"/>
                <w:iCs w:val="0"/>
                <w:color w:val="auto"/>
                <w:sz w:val="21"/>
                <w:szCs w:val="21"/>
                <w:u w:val="none"/>
              </w:rPr>
            </w:pPr>
          </w:p>
        </w:tc>
      </w:tr>
      <w:tr w14:paraId="36E1617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06F33A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323" w:type="pct"/>
            <w:tcBorders>
              <w:tl2br w:val="nil"/>
              <w:tr2bl w:val="nil"/>
            </w:tcBorders>
            <w:shd w:val="clear" w:color="auto" w:fill="auto"/>
            <w:vAlign w:val="center"/>
          </w:tcPr>
          <w:p w14:paraId="39400F6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标准制定、科研基地建设</w:t>
            </w:r>
          </w:p>
        </w:tc>
        <w:tc>
          <w:tcPr>
            <w:tcW w:w="294" w:type="pct"/>
            <w:tcBorders>
              <w:tl2br w:val="nil"/>
              <w:tr2bl w:val="nil"/>
            </w:tcBorders>
            <w:shd w:val="clear" w:color="auto" w:fill="auto"/>
            <w:vAlign w:val="center"/>
          </w:tcPr>
          <w:p w14:paraId="188833D4">
            <w:pPr>
              <w:rPr>
                <w:rFonts w:hint="default" w:ascii="Times New Roman" w:hAnsi="Times New Roman" w:eastAsia="宋体" w:cs="Times New Roman"/>
                <w:i w:val="0"/>
                <w:iCs w:val="0"/>
                <w:color w:val="auto"/>
                <w:sz w:val="21"/>
                <w:szCs w:val="21"/>
                <w:u w:val="none"/>
              </w:rPr>
            </w:pPr>
          </w:p>
        </w:tc>
        <w:tc>
          <w:tcPr>
            <w:tcW w:w="300" w:type="pct"/>
            <w:tcBorders>
              <w:tl2br w:val="nil"/>
              <w:tr2bl w:val="nil"/>
            </w:tcBorders>
            <w:shd w:val="clear" w:color="auto" w:fill="auto"/>
            <w:vAlign w:val="center"/>
          </w:tcPr>
          <w:p w14:paraId="373FDAC8">
            <w:pPr>
              <w:rPr>
                <w:rFonts w:hint="default" w:ascii="Times New Roman" w:hAnsi="Times New Roman" w:eastAsia="宋体" w:cs="Times New Roman"/>
                <w:i w:val="0"/>
                <w:iCs w:val="0"/>
                <w:color w:val="auto"/>
                <w:sz w:val="21"/>
                <w:szCs w:val="21"/>
                <w:u w:val="none"/>
              </w:rPr>
            </w:pPr>
          </w:p>
        </w:tc>
        <w:tc>
          <w:tcPr>
            <w:tcW w:w="659" w:type="pct"/>
            <w:tcBorders>
              <w:tl2br w:val="nil"/>
              <w:tr2bl w:val="nil"/>
            </w:tcBorders>
            <w:shd w:val="clear" w:color="auto" w:fill="auto"/>
            <w:vAlign w:val="center"/>
          </w:tcPr>
          <w:p w14:paraId="2E93EEF6">
            <w:pPr>
              <w:rPr>
                <w:rFonts w:hint="default" w:ascii="Times New Roman" w:hAnsi="Times New Roman" w:eastAsia="宋体" w:cs="Times New Roman"/>
                <w:i w:val="0"/>
                <w:iCs w:val="0"/>
                <w:color w:val="auto"/>
                <w:sz w:val="21"/>
                <w:szCs w:val="21"/>
                <w:u w:val="none"/>
              </w:rPr>
            </w:pPr>
          </w:p>
        </w:tc>
        <w:tc>
          <w:tcPr>
            <w:tcW w:w="517" w:type="pct"/>
            <w:tcBorders>
              <w:tl2br w:val="nil"/>
              <w:tr2bl w:val="nil"/>
            </w:tcBorders>
            <w:shd w:val="clear" w:color="auto" w:fill="auto"/>
            <w:vAlign w:val="center"/>
          </w:tcPr>
          <w:p w14:paraId="7345E16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435" w:type="pct"/>
            <w:tcBorders>
              <w:tl2br w:val="nil"/>
              <w:tr2bl w:val="nil"/>
            </w:tcBorders>
            <w:shd w:val="clear" w:color="auto" w:fill="auto"/>
            <w:vAlign w:val="center"/>
          </w:tcPr>
          <w:p w14:paraId="39B4D474">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26686CD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716" w:type="pct"/>
            <w:tcBorders>
              <w:tl2br w:val="nil"/>
              <w:tr2bl w:val="nil"/>
            </w:tcBorders>
            <w:shd w:val="clear" w:color="auto" w:fill="auto"/>
            <w:noWrap/>
            <w:vAlign w:val="center"/>
          </w:tcPr>
          <w:p w14:paraId="180B0A67">
            <w:pPr>
              <w:rPr>
                <w:rFonts w:hint="default" w:ascii="Times New Roman" w:hAnsi="Times New Roman" w:eastAsia="宋体" w:cs="Times New Roman"/>
                <w:i w:val="0"/>
                <w:iCs w:val="0"/>
                <w:color w:val="auto"/>
                <w:sz w:val="21"/>
                <w:szCs w:val="21"/>
                <w:u w:val="none"/>
              </w:rPr>
            </w:pPr>
          </w:p>
        </w:tc>
      </w:tr>
      <w:tr w14:paraId="2BD69FC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4BFED8B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w:t>
            </w:r>
            <w:r>
              <w:rPr>
                <w:rStyle w:val="43"/>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4D352E5B">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标准制定</w:t>
            </w:r>
          </w:p>
        </w:tc>
        <w:tc>
          <w:tcPr>
            <w:tcW w:w="294" w:type="pct"/>
            <w:tcBorders>
              <w:tl2br w:val="nil"/>
              <w:tr2bl w:val="nil"/>
            </w:tcBorders>
            <w:shd w:val="clear" w:color="auto" w:fill="auto"/>
            <w:vAlign w:val="center"/>
          </w:tcPr>
          <w:p w14:paraId="7128A10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3"/>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14:paraId="2B3BBA1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659" w:type="pct"/>
            <w:tcBorders>
              <w:tl2br w:val="nil"/>
              <w:tr2bl w:val="nil"/>
            </w:tcBorders>
            <w:shd w:val="clear" w:color="auto" w:fill="auto"/>
            <w:noWrap/>
            <w:vAlign w:val="center"/>
          </w:tcPr>
          <w:p w14:paraId="7CEC896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50万元/个</w:t>
            </w:r>
          </w:p>
        </w:tc>
        <w:tc>
          <w:tcPr>
            <w:tcW w:w="517" w:type="pct"/>
            <w:tcBorders>
              <w:tl2br w:val="nil"/>
              <w:tr2bl w:val="nil"/>
            </w:tcBorders>
            <w:shd w:val="clear" w:color="auto" w:fill="auto"/>
            <w:vAlign w:val="center"/>
          </w:tcPr>
          <w:p w14:paraId="58B0D58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435" w:type="pct"/>
            <w:tcBorders>
              <w:tl2br w:val="nil"/>
              <w:tr2bl w:val="nil"/>
            </w:tcBorders>
            <w:shd w:val="clear" w:color="auto" w:fill="auto"/>
            <w:vAlign w:val="center"/>
          </w:tcPr>
          <w:p w14:paraId="278939CE">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63B158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716" w:type="pct"/>
            <w:tcBorders>
              <w:tl2br w:val="nil"/>
              <w:tr2bl w:val="nil"/>
            </w:tcBorders>
            <w:shd w:val="clear" w:color="auto" w:fill="auto"/>
            <w:noWrap/>
            <w:vAlign w:val="center"/>
          </w:tcPr>
          <w:p w14:paraId="41685E3A">
            <w:pPr>
              <w:jc w:val="center"/>
              <w:rPr>
                <w:rFonts w:hint="default" w:ascii="Times New Roman" w:hAnsi="Times New Roman" w:eastAsia="宋体" w:cs="Times New Roman"/>
                <w:i w:val="0"/>
                <w:iCs w:val="0"/>
                <w:color w:val="auto"/>
                <w:sz w:val="21"/>
                <w:szCs w:val="21"/>
                <w:u w:val="none"/>
              </w:rPr>
            </w:pPr>
          </w:p>
        </w:tc>
      </w:tr>
      <w:tr w14:paraId="22F74F3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6F4FFDE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3DF1F1C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科研基地建设</w:t>
            </w:r>
          </w:p>
        </w:tc>
        <w:tc>
          <w:tcPr>
            <w:tcW w:w="294" w:type="pct"/>
            <w:tcBorders>
              <w:tl2br w:val="nil"/>
              <w:tr2bl w:val="nil"/>
            </w:tcBorders>
            <w:shd w:val="clear" w:color="auto" w:fill="auto"/>
            <w:vAlign w:val="center"/>
          </w:tcPr>
          <w:p w14:paraId="5261921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14:paraId="449810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659" w:type="pct"/>
            <w:tcBorders>
              <w:tl2br w:val="nil"/>
              <w:tr2bl w:val="nil"/>
            </w:tcBorders>
            <w:shd w:val="clear" w:color="auto" w:fill="auto"/>
            <w:noWrap/>
            <w:vAlign w:val="center"/>
          </w:tcPr>
          <w:p w14:paraId="12DFBC9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100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p>
        </w:tc>
        <w:tc>
          <w:tcPr>
            <w:tcW w:w="517" w:type="pct"/>
            <w:tcBorders>
              <w:tl2br w:val="nil"/>
              <w:tr2bl w:val="nil"/>
            </w:tcBorders>
            <w:shd w:val="clear" w:color="auto" w:fill="auto"/>
            <w:vAlign w:val="center"/>
          </w:tcPr>
          <w:p w14:paraId="37ABA4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435" w:type="pct"/>
            <w:tcBorders>
              <w:tl2br w:val="nil"/>
              <w:tr2bl w:val="nil"/>
            </w:tcBorders>
            <w:shd w:val="clear" w:color="auto" w:fill="auto"/>
            <w:vAlign w:val="center"/>
          </w:tcPr>
          <w:p w14:paraId="1E7DD537">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3BC982C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716" w:type="pct"/>
            <w:tcBorders>
              <w:tl2br w:val="nil"/>
              <w:tr2bl w:val="nil"/>
            </w:tcBorders>
            <w:shd w:val="clear" w:color="auto" w:fill="auto"/>
            <w:noWrap/>
            <w:vAlign w:val="center"/>
          </w:tcPr>
          <w:p w14:paraId="10AD34B7">
            <w:pPr>
              <w:jc w:val="center"/>
              <w:rPr>
                <w:rFonts w:hint="default" w:ascii="Times New Roman" w:hAnsi="Times New Roman" w:eastAsia="宋体" w:cs="Times New Roman"/>
                <w:i w:val="0"/>
                <w:iCs w:val="0"/>
                <w:color w:val="auto"/>
                <w:sz w:val="21"/>
                <w:szCs w:val="21"/>
                <w:u w:val="none"/>
              </w:rPr>
            </w:pPr>
          </w:p>
        </w:tc>
      </w:tr>
      <w:tr w14:paraId="7953605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6B96E6F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323" w:type="pct"/>
            <w:tcBorders>
              <w:tl2br w:val="nil"/>
              <w:tr2bl w:val="nil"/>
            </w:tcBorders>
            <w:shd w:val="clear" w:color="auto" w:fill="auto"/>
            <w:vAlign w:val="center"/>
          </w:tcPr>
          <w:p w14:paraId="50CF46B0">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培训、宣传</w:t>
            </w:r>
          </w:p>
        </w:tc>
        <w:tc>
          <w:tcPr>
            <w:tcW w:w="294" w:type="pct"/>
            <w:tcBorders>
              <w:tl2br w:val="nil"/>
              <w:tr2bl w:val="nil"/>
            </w:tcBorders>
            <w:shd w:val="clear" w:color="auto" w:fill="auto"/>
            <w:vAlign w:val="center"/>
          </w:tcPr>
          <w:p w14:paraId="0F900D6B">
            <w:pPr>
              <w:rPr>
                <w:rFonts w:hint="default" w:ascii="Times New Roman" w:hAnsi="Times New Roman" w:eastAsia="宋体" w:cs="Times New Roman"/>
                <w:i w:val="0"/>
                <w:iCs w:val="0"/>
                <w:color w:val="auto"/>
                <w:sz w:val="21"/>
                <w:szCs w:val="21"/>
                <w:u w:val="none"/>
              </w:rPr>
            </w:pPr>
          </w:p>
        </w:tc>
        <w:tc>
          <w:tcPr>
            <w:tcW w:w="300" w:type="pct"/>
            <w:tcBorders>
              <w:tl2br w:val="nil"/>
              <w:tr2bl w:val="nil"/>
            </w:tcBorders>
            <w:shd w:val="clear" w:color="auto" w:fill="auto"/>
            <w:vAlign w:val="center"/>
          </w:tcPr>
          <w:p w14:paraId="4064BCE2">
            <w:pPr>
              <w:rPr>
                <w:rFonts w:hint="default" w:ascii="Times New Roman" w:hAnsi="Times New Roman" w:eastAsia="宋体" w:cs="Times New Roman"/>
                <w:i w:val="0"/>
                <w:iCs w:val="0"/>
                <w:color w:val="auto"/>
                <w:sz w:val="21"/>
                <w:szCs w:val="21"/>
                <w:u w:val="none"/>
              </w:rPr>
            </w:pPr>
          </w:p>
        </w:tc>
        <w:tc>
          <w:tcPr>
            <w:tcW w:w="659" w:type="pct"/>
            <w:tcBorders>
              <w:tl2br w:val="nil"/>
              <w:tr2bl w:val="nil"/>
            </w:tcBorders>
            <w:shd w:val="clear" w:color="auto" w:fill="auto"/>
            <w:vAlign w:val="center"/>
          </w:tcPr>
          <w:p w14:paraId="425C4341">
            <w:pPr>
              <w:rPr>
                <w:rFonts w:hint="default" w:ascii="Times New Roman" w:hAnsi="Times New Roman" w:eastAsia="宋体" w:cs="Times New Roman"/>
                <w:i w:val="0"/>
                <w:iCs w:val="0"/>
                <w:color w:val="auto"/>
                <w:sz w:val="21"/>
                <w:szCs w:val="21"/>
                <w:u w:val="none"/>
              </w:rPr>
            </w:pPr>
          </w:p>
        </w:tc>
        <w:tc>
          <w:tcPr>
            <w:tcW w:w="517" w:type="pct"/>
            <w:tcBorders>
              <w:tl2br w:val="nil"/>
              <w:tr2bl w:val="nil"/>
            </w:tcBorders>
            <w:shd w:val="clear" w:color="auto" w:fill="auto"/>
            <w:vAlign w:val="center"/>
          </w:tcPr>
          <w:p w14:paraId="40702E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435" w:type="pct"/>
            <w:tcBorders>
              <w:tl2br w:val="nil"/>
              <w:tr2bl w:val="nil"/>
            </w:tcBorders>
            <w:shd w:val="clear" w:color="auto" w:fill="auto"/>
            <w:vAlign w:val="center"/>
          </w:tcPr>
          <w:p w14:paraId="6FC2DB92">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4E3C16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150</w:t>
            </w:r>
          </w:p>
        </w:tc>
        <w:tc>
          <w:tcPr>
            <w:tcW w:w="716" w:type="pct"/>
            <w:tcBorders>
              <w:tl2br w:val="nil"/>
              <w:tr2bl w:val="nil"/>
            </w:tcBorders>
            <w:shd w:val="clear" w:color="auto" w:fill="auto"/>
            <w:noWrap/>
            <w:vAlign w:val="center"/>
          </w:tcPr>
          <w:p w14:paraId="2341D240">
            <w:pPr>
              <w:rPr>
                <w:rFonts w:hint="default" w:ascii="Times New Roman" w:hAnsi="Times New Roman" w:eastAsia="宋体" w:cs="Times New Roman"/>
                <w:i w:val="0"/>
                <w:iCs w:val="0"/>
                <w:color w:val="auto"/>
                <w:sz w:val="21"/>
                <w:szCs w:val="21"/>
                <w:u w:val="none"/>
              </w:rPr>
            </w:pPr>
          </w:p>
        </w:tc>
      </w:tr>
      <w:tr w14:paraId="78E233B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2B8916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039518E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培训</w:t>
            </w:r>
          </w:p>
        </w:tc>
        <w:tc>
          <w:tcPr>
            <w:tcW w:w="294" w:type="pct"/>
            <w:tcBorders>
              <w:tl2br w:val="nil"/>
              <w:tr2bl w:val="nil"/>
            </w:tcBorders>
            <w:shd w:val="clear" w:color="auto" w:fill="auto"/>
            <w:vAlign w:val="center"/>
          </w:tcPr>
          <w:p w14:paraId="47960C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次</w:t>
            </w:r>
          </w:p>
        </w:tc>
        <w:tc>
          <w:tcPr>
            <w:tcW w:w="300" w:type="pct"/>
            <w:tcBorders>
              <w:tl2br w:val="nil"/>
              <w:tr2bl w:val="nil"/>
            </w:tcBorders>
            <w:shd w:val="clear" w:color="auto" w:fill="auto"/>
            <w:vAlign w:val="center"/>
          </w:tcPr>
          <w:p w14:paraId="01321C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59" w:type="pct"/>
            <w:tcBorders>
              <w:tl2br w:val="nil"/>
              <w:tr2bl w:val="nil"/>
            </w:tcBorders>
            <w:shd w:val="clear" w:color="auto" w:fill="auto"/>
            <w:noWrap/>
            <w:vAlign w:val="center"/>
          </w:tcPr>
          <w:p w14:paraId="292C30A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次</w:t>
            </w:r>
          </w:p>
        </w:tc>
        <w:tc>
          <w:tcPr>
            <w:tcW w:w="517" w:type="pct"/>
            <w:tcBorders>
              <w:tl2br w:val="nil"/>
              <w:tr2bl w:val="nil"/>
            </w:tcBorders>
            <w:shd w:val="clear" w:color="auto" w:fill="auto"/>
            <w:vAlign w:val="center"/>
          </w:tcPr>
          <w:p w14:paraId="16EAF5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w:t>
            </w:r>
          </w:p>
        </w:tc>
        <w:tc>
          <w:tcPr>
            <w:tcW w:w="435" w:type="pct"/>
            <w:tcBorders>
              <w:tl2br w:val="nil"/>
              <w:tr2bl w:val="nil"/>
            </w:tcBorders>
            <w:shd w:val="clear" w:color="auto" w:fill="auto"/>
            <w:vAlign w:val="center"/>
          </w:tcPr>
          <w:p w14:paraId="4E065ACB">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67B5C38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w:t>
            </w:r>
          </w:p>
        </w:tc>
        <w:tc>
          <w:tcPr>
            <w:tcW w:w="716" w:type="pct"/>
            <w:tcBorders>
              <w:tl2br w:val="nil"/>
              <w:tr2bl w:val="nil"/>
            </w:tcBorders>
            <w:shd w:val="clear" w:color="auto" w:fill="auto"/>
            <w:noWrap/>
            <w:vAlign w:val="center"/>
          </w:tcPr>
          <w:p w14:paraId="3A358C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每年</w:t>
            </w:r>
            <w:r>
              <w:rPr>
                <w:rStyle w:val="44"/>
                <w:rFonts w:hint="default" w:ascii="Times New Roman" w:hAnsi="Times New Roman" w:eastAsia="宋体" w:cs="Times New Roman"/>
                <w:color w:val="auto"/>
                <w:sz w:val="21"/>
                <w:szCs w:val="21"/>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次</w:t>
            </w:r>
          </w:p>
        </w:tc>
      </w:tr>
      <w:tr w14:paraId="5D843B0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3982331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7CFA305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宣传</w:t>
            </w:r>
          </w:p>
        </w:tc>
        <w:tc>
          <w:tcPr>
            <w:tcW w:w="294" w:type="pct"/>
            <w:tcBorders>
              <w:tl2br w:val="nil"/>
              <w:tr2bl w:val="nil"/>
            </w:tcBorders>
            <w:shd w:val="clear" w:color="auto" w:fill="auto"/>
            <w:vAlign w:val="center"/>
          </w:tcPr>
          <w:p w14:paraId="6EBE8AD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年</w:t>
            </w:r>
          </w:p>
        </w:tc>
        <w:tc>
          <w:tcPr>
            <w:tcW w:w="300" w:type="pct"/>
            <w:tcBorders>
              <w:tl2br w:val="nil"/>
              <w:tr2bl w:val="nil"/>
            </w:tcBorders>
            <w:shd w:val="clear" w:color="auto" w:fill="auto"/>
            <w:vAlign w:val="center"/>
          </w:tcPr>
          <w:p w14:paraId="28AFEBC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659" w:type="pct"/>
            <w:tcBorders>
              <w:tl2br w:val="nil"/>
              <w:tr2bl w:val="nil"/>
            </w:tcBorders>
            <w:shd w:val="clear" w:color="auto" w:fill="auto"/>
            <w:noWrap/>
            <w:vAlign w:val="center"/>
          </w:tcPr>
          <w:p w14:paraId="0A7D9B9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年</w:t>
            </w:r>
          </w:p>
        </w:tc>
        <w:tc>
          <w:tcPr>
            <w:tcW w:w="517" w:type="pct"/>
            <w:tcBorders>
              <w:tl2br w:val="nil"/>
              <w:tr2bl w:val="nil"/>
            </w:tcBorders>
            <w:shd w:val="clear" w:color="auto" w:fill="auto"/>
            <w:vAlign w:val="center"/>
          </w:tcPr>
          <w:p w14:paraId="377E1C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435" w:type="pct"/>
            <w:tcBorders>
              <w:tl2br w:val="nil"/>
              <w:tr2bl w:val="nil"/>
            </w:tcBorders>
            <w:shd w:val="clear" w:color="auto" w:fill="auto"/>
            <w:vAlign w:val="center"/>
          </w:tcPr>
          <w:p w14:paraId="7CBF4A17">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3644D4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716" w:type="pct"/>
            <w:tcBorders>
              <w:tl2br w:val="nil"/>
              <w:tr2bl w:val="nil"/>
            </w:tcBorders>
            <w:shd w:val="clear" w:color="auto" w:fill="auto"/>
            <w:noWrap/>
            <w:vAlign w:val="center"/>
          </w:tcPr>
          <w:p w14:paraId="57186EE5">
            <w:pPr>
              <w:jc w:val="center"/>
              <w:rPr>
                <w:rFonts w:hint="default" w:ascii="Times New Roman" w:hAnsi="Times New Roman" w:eastAsia="宋体" w:cs="Times New Roman"/>
                <w:i w:val="0"/>
                <w:iCs w:val="0"/>
                <w:color w:val="auto"/>
                <w:sz w:val="21"/>
                <w:szCs w:val="21"/>
                <w:u w:val="none"/>
              </w:rPr>
            </w:pPr>
          </w:p>
        </w:tc>
      </w:tr>
      <w:tr w14:paraId="24533D3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0CC940E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323" w:type="pct"/>
            <w:tcBorders>
              <w:tl2br w:val="nil"/>
              <w:tr2bl w:val="nil"/>
            </w:tcBorders>
            <w:shd w:val="clear" w:color="auto" w:fill="auto"/>
            <w:vAlign w:val="center"/>
          </w:tcPr>
          <w:p w14:paraId="23EFEDA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水土保持科技示范园项目</w:t>
            </w:r>
          </w:p>
        </w:tc>
        <w:tc>
          <w:tcPr>
            <w:tcW w:w="294" w:type="pct"/>
            <w:tcBorders>
              <w:tl2br w:val="nil"/>
              <w:tr2bl w:val="nil"/>
            </w:tcBorders>
            <w:shd w:val="clear" w:color="auto" w:fill="auto"/>
            <w:vAlign w:val="center"/>
          </w:tcPr>
          <w:p w14:paraId="14405CEB">
            <w:pPr>
              <w:rPr>
                <w:rFonts w:hint="default" w:ascii="Times New Roman" w:hAnsi="Times New Roman" w:eastAsia="宋体" w:cs="Times New Roman"/>
                <w:i w:val="0"/>
                <w:iCs w:val="0"/>
                <w:color w:val="auto"/>
                <w:sz w:val="21"/>
                <w:szCs w:val="21"/>
                <w:u w:val="none"/>
              </w:rPr>
            </w:pPr>
          </w:p>
        </w:tc>
        <w:tc>
          <w:tcPr>
            <w:tcW w:w="300" w:type="pct"/>
            <w:tcBorders>
              <w:tl2br w:val="nil"/>
              <w:tr2bl w:val="nil"/>
            </w:tcBorders>
            <w:shd w:val="clear" w:color="auto" w:fill="auto"/>
            <w:vAlign w:val="center"/>
          </w:tcPr>
          <w:p w14:paraId="456C5D0F">
            <w:pPr>
              <w:rPr>
                <w:rFonts w:hint="default" w:ascii="Times New Roman" w:hAnsi="Times New Roman" w:eastAsia="宋体" w:cs="Times New Roman"/>
                <w:i w:val="0"/>
                <w:iCs w:val="0"/>
                <w:color w:val="auto"/>
                <w:sz w:val="21"/>
                <w:szCs w:val="21"/>
                <w:u w:val="none"/>
              </w:rPr>
            </w:pPr>
          </w:p>
        </w:tc>
        <w:tc>
          <w:tcPr>
            <w:tcW w:w="659" w:type="pct"/>
            <w:tcBorders>
              <w:tl2br w:val="nil"/>
              <w:tr2bl w:val="nil"/>
            </w:tcBorders>
            <w:shd w:val="clear" w:color="auto" w:fill="auto"/>
            <w:vAlign w:val="center"/>
          </w:tcPr>
          <w:p w14:paraId="127C96AF">
            <w:pPr>
              <w:rPr>
                <w:rFonts w:hint="default" w:ascii="Times New Roman" w:hAnsi="Times New Roman" w:eastAsia="宋体" w:cs="Times New Roman"/>
                <w:i w:val="0"/>
                <w:iCs w:val="0"/>
                <w:color w:val="auto"/>
                <w:sz w:val="21"/>
                <w:szCs w:val="21"/>
                <w:u w:val="none"/>
              </w:rPr>
            </w:pPr>
          </w:p>
        </w:tc>
        <w:tc>
          <w:tcPr>
            <w:tcW w:w="517" w:type="pct"/>
            <w:tcBorders>
              <w:tl2br w:val="nil"/>
              <w:tr2bl w:val="nil"/>
            </w:tcBorders>
            <w:shd w:val="clear" w:color="auto" w:fill="auto"/>
            <w:vAlign w:val="center"/>
          </w:tcPr>
          <w:p w14:paraId="6524B09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9380</w:t>
            </w:r>
          </w:p>
        </w:tc>
        <w:tc>
          <w:tcPr>
            <w:tcW w:w="435" w:type="pct"/>
            <w:tcBorders>
              <w:tl2br w:val="nil"/>
              <w:tr2bl w:val="nil"/>
            </w:tcBorders>
            <w:shd w:val="clear" w:color="auto" w:fill="auto"/>
            <w:vAlign w:val="center"/>
          </w:tcPr>
          <w:p w14:paraId="0168AD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9180</w:t>
            </w:r>
          </w:p>
        </w:tc>
        <w:tc>
          <w:tcPr>
            <w:tcW w:w="440" w:type="pct"/>
            <w:tcBorders>
              <w:tl2br w:val="nil"/>
              <w:tr2bl w:val="nil"/>
            </w:tcBorders>
            <w:shd w:val="clear" w:color="auto" w:fill="auto"/>
            <w:vAlign w:val="center"/>
          </w:tcPr>
          <w:p w14:paraId="30453B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716" w:type="pct"/>
            <w:tcBorders>
              <w:tl2br w:val="nil"/>
              <w:tr2bl w:val="nil"/>
            </w:tcBorders>
            <w:shd w:val="clear" w:color="auto" w:fill="auto"/>
            <w:noWrap/>
            <w:vAlign w:val="center"/>
          </w:tcPr>
          <w:p w14:paraId="652F5C97">
            <w:pPr>
              <w:rPr>
                <w:rFonts w:hint="default" w:ascii="Times New Roman" w:hAnsi="Times New Roman" w:eastAsia="宋体" w:cs="Times New Roman"/>
                <w:i w:val="0"/>
                <w:iCs w:val="0"/>
                <w:color w:val="auto"/>
                <w:sz w:val="21"/>
                <w:szCs w:val="21"/>
                <w:u w:val="none"/>
              </w:rPr>
            </w:pPr>
          </w:p>
        </w:tc>
      </w:tr>
      <w:tr w14:paraId="7A0A2DF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1865A3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742AE7A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园区项目建设</w:t>
            </w:r>
          </w:p>
        </w:tc>
        <w:tc>
          <w:tcPr>
            <w:tcW w:w="294" w:type="pct"/>
            <w:tcBorders>
              <w:tl2br w:val="nil"/>
              <w:tr2bl w:val="nil"/>
            </w:tcBorders>
            <w:shd w:val="clear" w:color="auto" w:fill="auto"/>
            <w:vAlign w:val="center"/>
          </w:tcPr>
          <w:p w14:paraId="48F556F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14:paraId="4752DD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659" w:type="pct"/>
            <w:tcBorders>
              <w:tl2br w:val="nil"/>
              <w:tr2bl w:val="nil"/>
            </w:tcBorders>
            <w:shd w:val="clear" w:color="auto" w:fill="auto"/>
            <w:noWrap/>
            <w:vAlign w:val="center"/>
          </w:tcPr>
          <w:p w14:paraId="6EB79F73">
            <w:pPr>
              <w:jc w:val="center"/>
              <w:rPr>
                <w:rFonts w:hint="default" w:ascii="Times New Roman" w:hAnsi="Times New Roman" w:eastAsia="宋体" w:cs="Times New Roman"/>
                <w:i w:val="0"/>
                <w:iCs w:val="0"/>
                <w:color w:val="auto"/>
                <w:sz w:val="21"/>
                <w:szCs w:val="21"/>
                <w:u w:val="none"/>
              </w:rPr>
            </w:pPr>
          </w:p>
        </w:tc>
        <w:tc>
          <w:tcPr>
            <w:tcW w:w="517" w:type="pct"/>
            <w:tcBorders>
              <w:tl2br w:val="nil"/>
              <w:tr2bl w:val="nil"/>
            </w:tcBorders>
            <w:shd w:val="clear" w:color="auto" w:fill="auto"/>
            <w:vAlign w:val="center"/>
          </w:tcPr>
          <w:p w14:paraId="493FC0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9000</w:t>
            </w:r>
          </w:p>
        </w:tc>
        <w:tc>
          <w:tcPr>
            <w:tcW w:w="435" w:type="pct"/>
            <w:tcBorders>
              <w:tl2br w:val="nil"/>
              <w:tr2bl w:val="nil"/>
            </w:tcBorders>
            <w:shd w:val="clear" w:color="auto" w:fill="auto"/>
            <w:vAlign w:val="center"/>
          </w:tcPr>
          <w:p w14:paraId="727FBA9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9000</w:t>
            </w:r>
          </w:p>
        </w:tc>
        <w:tc>
          <w:tcPr>
            <w:tcW w:w="440" w:type="pct"/>
            <w:tcBorders>
              <w:tl2br w:val="nil"/>
              <w:tr2bl w:val="nil"/>
            </w:tcBorders>
            <w:shd w:val="clear" w:color="auto" w:fill="auto"/>
            <w:vAlign w:val="center"/>
          </w:tcPr>
          <w:p w14:paraId="74DFD951">
            <w:pPr>
              <w:jc w:val="center"/>
              <w:rPr>
                <w:rFonts w:hint="default" w:ascii="Times New Roman" w:hAnsi="Times New Roman" w:eastAsia="宋体" w:cs="Times New Roman"/>
                <w:i w:val="0"/>
                <w:iCs w:val="0"/>
                <w:color w:val="auto"/>
                <w:sz w:val="21"/>
                <w:szCs w:val="21"/>
                <w:u w:val="none"/>
              </w:rPr>
            </w:pPr>
          </w:p>
        </w:tc>
        <w:tc>
          <w:tcPr>
            <w:tcW w:w="716" w:type="pct"/>
            <w:tcBorders>
              <w:tl2br w:val="nil"/>
              <w:tr2bl w:val="nil"/>
            </w:tcBorders>
            <w:shd w:val="clear" w:color="auto" w:fill="auto"/>
            <w:noWrap/>
            <w:vAlign w:val="center"/>
          </w:tcPr>
          <w:p w14:paraId="2EFD3F2C">
            <w:pPr>
              <w:rPr>
                <w:rFonts w:hint="default" w:ascii="Times New Roman" w:hAnsi="Times New Roman" w:eastAsia="宋体" w:cs="Times New Roman"/>
                <w:i w:val="0"/>
                <w:iCs w:val="0"/>
                <w:color w:val="auto"/>
                <w:sz w:val="21"/>
                <w:szCs w:val="21"/>
                <w:u w:val="none"/>
              </w:rPr>
            </w:pPr>
          </w:p>
        </w:tc>
      </w:tr>
      <w:tr w14:paraId="3459AE6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392619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①</w:t>
            </w:r>
          </w:p>
        </w:tc>
        <w:tc>
          <w:tcPr>
            <w:tcW w:w="1323" w:type="pct"/>
            <w:tcBorders>
              <w:tl2br w:val="nil"/>
              <w:tr2bl w:val="nil"/>
            </w:tcBorders>
            <w:shd w:val="clear" w:color="auto" w:fill="auto"/>
            <w:vAlign w:val="center"/>
          </w:tcPr>
          <w:p w14:paraId="02973A1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重点园区</w:t>
            </w:r>
          </w:p>
        </w:tc>
        <w:tc>
          <w:tcPr>
            <w:tcW w:w="294" w:type="pct"/>
            <w:tcBorders>
              <w:tl2br w:val="nil"/>
              <w:tr2bl w:val="nil"/>
            </w:tcBorders>
            <w:shd w:val="clear" w:color="auto" w:fill="auto"/>
            <w:vAlign w:val="center"/>
          </w:tcPr>
          <w:p w14:paraId="0F551B6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14:paraId="68746FD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659" w:type="pct"/>
            <w:tcBorders>
              <w:tl2br w:val="nil"/>
              <w:tr2bl w:val="nil"/>
            </w:tcBorders>
            <w:shd w:val="clear" w:color="auto" w:fill="auto"/>
            <w:noWrap/>
            <w:vAlign w:val="center"/>
          </w:tcPr>
          <w:p w14:paraId="0E5FA3E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2000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p>
        </w:tc>
        <w:tc>
          <w:tcPr>
            <w:tcW w:w="517" w:type="pct"/>
            <w:tcBorders>
              <w:tl2br w:val="nil"/>
              <w:tr2bl w:val="nil"/>
            </w:tcBorders>
            <w:shd w:val="clear" w:color="auto" w:fill="auto"/>
            <w:vAlign w:val="center"/>
          </w:tcPr>
          <w:p w14:paraId="0A1F275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6000</w:t>
            </w:r>
          </w:p>
        </w:tc>
        <w:tc>
          <w:tcPr>
            <w:tcW w:w="435" w:type="pct"/>
            <w:tcBorders>
              <w:tl2br w:val="nil"/>
              <w:tr2bl w:val="nil"/>
            </w:tcBorders>
            <w:shd w:val="clear" w:color="auto" w:fill="auto"/>
            <w:vAlign w:val="center"/>
          </w:tcPr>
          <w:p w14:paraId="66424FD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6000</w:t>
            </w:r>
          </w:p>
        </w:tc>
        <w:tc>
          <w:tcPr>
            <w:tcW w:w="440" w:type="pct"/>
            <w:tcBorders>
              <w:tl2br w:val="nil"/>
              <w:tr2bl w:val="nil"/>
            </w:tcBorders>
            <w:shd w:val="clear" w:color="auto" w:fill="auto"/>
            <w:vAlign w:val="center"/>
          </w:tcPr>
          <w:p w14:paraId="37DF2704">
            <w:pPr>
              <w:jc w:val="center"/>
              <w:rPr>
                <w:rFonts w:hint="default" w:ascii="Times New Roman" w:hAnsi="Times New Roman" w:eastAsia="宋体" w:cs="Times New Roman"/>
                <w:i w:val="0"/>
                <w:iCs w:val="0"/>
                <w:color w:val="auto"/>
                <w:sz w:val="21"/>
                <w:szCs w:val="21"/>
                <w:u w:val="none"/>
              </w:rPr>
            </w:pPr>
          </w:p>
        </w:tc>
        <w:tc>
          <w:tcPr>
            <w:tcW w:w="716" w:type="pct"/>
            <w:tcBorders>
              <w:tl2br w:val="nil"/>
              <w:tr2bl w:val="nil"/>
            </w:tcBorders>
            <w:shd w:val="clear" w:color="auto" w:fill="auto"/>
            <w:noWrap/>
            <w:vAlign w:val="center"/>
          </w:tcPr>
          <w:p w14:paraId="1CA182F3">
            <w:pPr>
              <w:rPr>
                <w:rFonts w:hint="default" w:ascii="Times New Roman" w:hAnsi="Times New Roman" w:eastAsia="宋体" w:cs="Times New Roman"/>
                <w:i w:val="0"/>
                <w:iCs w:val="0"/>
                <w:color w:val="auto"/>
                <w:sz w:val="21"/>
                <w:szCs w:val="21"/>
                <w:u w:val="none"/>
              </w:rPr>
            </w:pPr>
          </w:p>
        </w:tc>
      </w:tr>
      <w:tr w14:paraId="2AF8ACF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3CA6DE2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②</w:t>
            </w:r>
          </w:p>
        </w:tc>
        <w:tc>
          <w:tcPr>
            <w:tcW w:w="1323" w:type="pct"/>
            <w:tcBorders>
              <w:tl2br w:val="nil"/>
              <w:tr2bl w:val="nil"/>
            </w:tcBorders>
            <w:shd w:val="clear" w:color="auto" w:fill="auto"/>
            <w:vAlign w:val="center"/>
          </w:tcPr>
          <w:p w14:paraId="3251947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一般园区</w:t>
            </w:r>
          </w:p>
        </w:tc>
        <w:tc>
          <w:tcPr>
            <w:tcW w:w="294" w:type="pct"/>
            <w:tcBorders>
              <w:tl2br w:val="nil"/>
              <w:tr2bl w:val="nil"/>
            </w:tcBorders>
            <w:shd w:val="clear" w:color="auto" w:fill="auto"/>
            <w:vAlign w:val="center"/>
          </w:tcPr>
          <w:p w14:paraId="2B6402D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14:paraId="3664CCB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59" w:type="pct"/>
            <w:tcBorders>
              <w:tl2br w:val="nil"/>
              <w:tr2bl w:val="nil"/>
            </w:tcBorders>
            <w:shd w:val="clear" w:color="auto" w:fill="auto"/>
            <w:noWrap/>
            <w:vAlign w:val="center"/>
          </w:tcPr>
          <w:p w14:paraId="78E379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300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p>
        </w:tc>
        <w:tc>
          <w:tcPr>
            <w:tcW w:w="517" w:type="pct"/>
            <w:tcBorders>
              <w:tl2br w:val="nil"/>
              <w:tr2bl w:val="nil"/>
            </w:tcBorders>
            <w:shd w:val="clear" w:color="auto" w:fill="auto"/>
            <w:vAlign w:val="center"/>
          </w:tcPr>
          <w:p w14:paraId="4CE5459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3000</w:t>
            </w:r>
          </w:p>
        </w:tc>
        <w:tc>
          <w:tcPr>
            <w:tcW w:w="435" w:type="pct"/>
            <w:tcBorders>
              <w:tl2br w:val="nil"/>
              <w:tr2bl w:val="nil"/>
            </w:tcBorders>
            <w:shd w:val="clear" w:color="auto" w:fill="auto"/>
            <w:vAlign w:val="center"/>
          </w:tcPr>
          <w:p w14:paraId="4ACB335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3000</w:t>
            </w:r>
          </w:p>
        </w:tc>
        <w:tc>
          <w:tcPr>
            <w:tcW w:w="440" w:type="pct"/>
            <w:tcBorders>
              <w:tl2br w:val="nil"/>
              <w:tr2bl w:val="nil"/>
            </w:tcBorders>
            <w:shd w:val="clear" w:color="auto" w:fill="auto"/>
            <w:vAlign w:val="center"/>
          </w:tcPr>
          <w:p w14:paraId="64584959">
            <w:pPr>
              <w:jc w:val="center"/>
              <w:rPr>
                <w:rFonts w:hint="default" w:ascii="Times New Roman" w:hAnsi="Times New Roman" w:eastAsia="宋体" w:cs="Times New Roman"/>
                <w:i w:val="0"/>
                <w:iCs w:val="0"/>
                <w:color w:val="auto"/>
                <w:sz w:val="21"/>
                <w:szCs w:val="21"/>
                <w:u w:val="none"/>
              </w:rPr>
            </w:pPr>
          </w:p>
        </w:tc>
        <w:tc>
          <w:tcPr>
            <w:tcW w:w="716" w:type="pct"/>
            <w:tcBorders>
              <w:tl2br w:val="nil"/>
              <w:tr2bl w:val="nil"/>
            </w:tcBorders>
            <w:shd w:val="clear" w:color="auto" w:fill="auto"/>
            <w:noWrap/>
            <w:vAlign w:val="center"/>
          </w:tcPr>
          <w:p w14:paraId="65AA4C99">
            <w:pPr>
              <w:rPr>
                <w:rFonts w:hint="default" w:ascii="Times New Roman" w:hAnsi="Times New Roman" w:eastAsia="宋体" w:cs="Times New Roman"/>
                <w:i w:val="0"/>
                <w:iCs w:val="0"/>
                <w:color w:val="auto"/>
                <w:sz w:val="21"/>
                <w:szCs w:val="21"/>
                <w:u w:val="none"/>
              </w:rPr>
            </w:pPr>
          </w:p>
        </w:tc>
      </w:tr>
      <w:tr w14:paraId="25792D1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14BC1AC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2</w:t>
            </w:r>
            <w:r>
              <w:rPr>
                <w:rStyle w:val="42"/>
                <w:rFonts w:hint="default" w:ascii="Times New Roman" w:hAnsi="Times New Roman" w:eastAsia="宋体" w:cs="Times New Roman"/>
                <w:color w:val="auto"/>
                <w:sz w:val="21"/>
                <w:szCs w:val="21"/>
                <w:lang w:val="en-US" w:eastAsia="zh-CN" w:bidi="ar"/>
              </w:rPr>
              <w:t>）</w:t>
            </w:r>
          </w:p>
        </w:tc>
        <w:tc>
          <w:tcPr>
            <w:tcW w:w="1323" w:type="pct"/>
            <w:tcBorders>
              <w:tl2br w:val="nil"/>
              <w:tr2bl w:val="nil"/>
            </w:tcBorders>
            <w:shd w:val="clear" w:color="auto" w:fill="auto"/>
            <w:vAlign w:val="center"/>
          </w:tcPr>
          <w:p w14:paraId="7C6CF03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宣传示范及运行维护</w:t>
            </w:r>
          </w:p>
        </w:tc>
        <w:tc>
          <w:tcPr>
            <w:tcW w:w="294" w:type="pct"/>
            <w:tcBorders>
              <w:tl2br w:val="nil"/>
              <w:tr2bl w:val="nil"/>
            </w:tcBorders>
            <w:shd w:val="clear" w:color="auto" w:fill="auto"/>
            <w:vAlign w:val="center"/>
          </w:tcPr>
          <w:p w14:paraId="2507145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14:paraId="3564A6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659" w:type="pct"/>
            <w:tcBorders>
              <w:tl2br w:val="nil"/>
              <w:tr2bl w:val="nil"/>
            </w:tcBorders>
            <w:shd w:val="clear" w:color="auto" w:fill="auto"/>
            <w:noWrap/>
            <w:vAlign w:val="center"/>
          </w:tcPr>
          <w:p w14:paraId="16B66915">
            <w:pPr>
              <w:jc w:val="center"/>
              <w:rPr>
                <w:rFonts w:hint="default" w:ascii="Times New Roman" w:hAnsi="Times New Roman" w:eastAsia="宋体" w:cs="Times New Roman"/>
                <w:i w:val="0"/>
                <w:iCs w:val="0"/>
                <w:color w:val="auto"/>
                <w:sz w:val="21"/>
                <w:szCs w:val="21"/>
                <w:u w:val="none"/>
              </w:rPr>
            </w:pPr>
          </w:p>
        </w:tc>
        <w:tc>
          <w:tcPr>
            <w:tcW w:w="517" w:type="pct"/>
            <w:tcBorders>
              <w:tl2br w:val="nil"/>
              <w:tr2bl w:val="nil"/>
            </w:tcBorders>
            <w:shd w:val="clear" w:color="auto" w:fill="auto"/>
            <w:vAlign w:val="center"/>
          </w:tcPr>
          <w:p w14:paraId="361382E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380</w:t>
            </w:r>
          </w:p>
        </w:tc>
        <w:tc>
          <w:tcPr>
            <w:tcW w:w="435" w:type="pct"/>
            <w:tcBorders>
              <w:tl2br w:val="nil"/>
              <w:tr2bl w:val="nil"/>
            </w:tcBorders>
            <w:shd w:val="clear" w:color="auto" w:fill="auto"/>
            <w:vAlign w:val="center"/>
          </w:tcPr>
          <w:p w14:paraId="026644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w:t>
            </w:r>
          </w:p>
        </w:tc>
        <w:tc>
          <w:tcPr>
            <w:tcW w:w="440" w:type="pct"/>
            <w:tcBorders>
              <w:tl2br w:val="nil"/>
              <w:tr2bl w:val="nil"/>
            </w:tcBorders>
            <w:shd w:val="clear" w:color="auto" w:fill="auto"/>
            <w:vAlign w:val="center"/>
          </w:tcPr>
          <w:p w14:paraId="16B5A3D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716" w:type="pct"/>
            <w:tcBorders>
              <w:tl2br w:val="nil"/>
              <w:tr2bl w:val="nil"/>
            </w:tcBorders>
            <w:shd w:val="clear" w:color="auto" w:fill="auto"/>
            <w:noWrap/>
            <w:vAlign w:val="center"/>
          </w:tcPr>
          <w:p w14:paraId="2EE38173">
            <w:pPr>
              <w:rPr>
                <w:rFonts w:hint="default" w:ascii="Times New Roman" w:hAnsi="Times New Roman" w:eastAsia="宋体" w:cs="Times New Roman"/>
                <w:i w:val="0"/>
                <w:iCs w:val="0"/>
                <w:color w:val="auto"/>
                <w:sz w:val="21"/>
                <w:szCs w:val="21"/>
                <w:u w:val="none"/>
              </w:rPr>
            </w:pPr>
          </w:p>
        </w:tc>
      </w:tr>
      <w:tr w14:paraId="64D208B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353108E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①</w:t>
            </w:r>
          </w:p>
        </w:tc>
        <w:tc>
          <w:tcPr>
            <w:tcW w:w="1323" w:type="pct"/>
            <w:tcBorders>
              <w:tl2br w:val="nil"/>
              <w:tr2bl w:val="nil"/>
            </w:tcBorders>
            <w:shd w:val="clear" w:color="auto" w:fill="auto"/>
            <w:vAlign w:val="center"/>
          </w:tcPr>
          <w:p w14:paraId="1A18A0C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国家级园区</w:t>
            </w:r>
          </w:p>
        </w:tc>
        <w:tc>
          <w:tcPr>
            <w:tcW w:w="294" w:type="pct"/>
            <w:tcBorders>
              <w:tl2br w:val="nil"/>
              <w:tr2bl w:val="nil"/>
            </w:tcBorders>
            <w:shd w:val="clear" w:color="auto" w:fill="auto"/>
            <w:vAlign w:val="center"/>
          </w:tcPr>
          <w:p w14:paraId="49B7D3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14:paraId="42FAFFB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659" w:type="pct"/>
            <w:tcBorders>
              <w:tl2br w:val="nil"/>
              <w:tr2bl w:val="nil"/>
            </w:tcBorders>
            <w:shd w:val="clear" w:color="auto" w:fill="auto"/>
            <w:noWrap/>
            <w:vAlign w:val="center"/>
          </w:tcPr>
          <w:p w14:paraId="7F449D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30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r>
              <w:rPr>
                <w:rStyle w:val="44"/>
                <w:rFonts w:hint="default" w:ascii="Times New Roman" w:hAnsi="Times New Roman" w:eastAsia="宋体" w:cs="Times New Roman"/>
                <w:color w:val="auto"/>
                <w:sz w:val="21"/>
                <w:szCs w:val="21"/>
                <w:lang w:val="en-US" w:eastAsia="zh-CN" w:bidi="ar"/>
              </w:rPr>
              <w:t>•a</w:t>
            </w:r>
            <w:r>
              <w:rPr>
                <w:rFonts w:hint="default" w:ascii="Times New Roman" w:hAnsi="Times New Roman" w:eastAsia="宋体" w:cs="Times New Roman"/>
                <w:i w:val="0"/>
                <w:iCs w:val="0"/>
                <w:color w:val="auto"/>
                <w:kern w:val="0"/>
                <w:sz w:val="21"/>
                <w:szCs w:val="21"/>
                <w:u w:val="none"/>
                <w:lang w:val="en-US" w:eastAsia="zh-CN" w:bidi="ar"/>
              </w:rPr>
              <w:t>）</w:t>
            </w:r>
          </w:p>
        </w:tc>
        <w:tc>
          <w:tcPr>
            <w:tcW w:w="517" w:type="pct"/>
            <w:tcBorders>
              <w:tl2br w:val="nil"/>
              <w:tr2bl w:val="nil"/>
            </w:tcBorders>
            <w:shd w:val="clear" w:color="auto" w:fill="auto"/>
            <w:vAlign w:val="center"/>
          </w:tcPr>
          <w:p w14:paraId="3A076EB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w:t>
            </w:r>
          </w:p>
        </w:tc>
        <w:tc>
          <w:tcPr>
            <w:tcW w:w="435" w:type="pct"/>
            <w:tcBorders>
              <w:tl2br w:val="nil"/>
              <w:tr2bl w:val="nil"/>
            </w:tcBorders>
            <w:shd w:val="clear" w:color="auto" w:fill="auto"/>
            <w:vAlign w:val="center"/>
          </w:tcPr>
          <w:p w14:paraId="21CE88B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w:t>
            </w:r>
          </w:p>
        </w:tc>
        <w:tc>
          <w:tcPr>
            <w:tcW w:w="440" w:type="pct"/>
            <w:tcBorders>
              <w:tl2br w:val="nil"/>
              <w:tr2bl w:val="nil"/>
            </w:tcBorders>
            <w:shd w:val="clear" w:color="auto" w:fill="auto"/>
            <w:vAlign w:val="center"/>
          </w:tcPr>
          <w:p w14:paraId="6CCA0DA2">
            <w:pPr>
              <w:jc w:val="center"/>
              <w:rPr>
                <w:rFonts w:hint="default" w:ascii="Times New Roman" w:hAnsi="Times New Roman" w:eastAsia="宋体" w:cs="Times New Roman"/>
                <w:i w:val="0"/>
                <w:iCs w:val="0"/>
                <w:color w:val="auto"/>
                <w:sz w:val="21"/>
                <w:szCs w:val="21"/>
                <w:u w:val="none"/>
              </w:rPr>
            </w:pPr>
          </w:p>
        </w:tc>
        <w:tc>
          <w:tcPr>
            <w:tcW w:w="716" w:type="pct"/>
            <w:tcBorders>
              <w:tl2br w:val="nil"/>
              <w:tr2bl w:val="nil"/>
            </w:tcBorders>
            <w:shd w:val="clear" w:color="auto" w:fill="auto"/>
            <w:noWrap/>
            <w:vAlign w:val="center"/>
          </w:tcPr>
          <w:p w14:paraId="1CF20C71">
            <w:pPr>
              <w:rPr>
                <w:rFonts w:hint="default" w:ascii="Times New Roman" w:hAnsi="Times New Roman" w:eastAsia="宋体" w:cs="Times New Roman"/>
                <w:i w:val="0"/>
                <w:iCs w:val="0"/>
                <w:color w:val="auto"/>
                <w:sz w:val="21"/>
                <w:szCs w:val="21"/>
                <w:u w:val="none"/>
              </w:rPr>
            </w:pPr>
          </w:p>
        </w:tc>
      </w:tr>
      <w:tr w14:paraId="7E0D113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19E7292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②</w:t>
            </w:r>
          </w:p>
        </w:tc>
        <w:tc>
          <w:tcPr>
            <w:tcW w:w="1323" w:type="pct"/>
            <w:tcBorders>
              <w:tl2br w:val="nil"/>
              <w:tr2bl w:val="nil"/>
            </w:tcBorders>
            <w:shd w:val="clear" w:color="auto" w:fill="auto"/>
            <w:vAlign w:val="center"/>
          </w:tcPr>
          <w:p w14:paraId="303327C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省级园区</w:t>
            </w:r>
          </w:p>
        </w:tc>
        <w:tc>
          <w:tcPr>
            <w:tcW w:w="294" w:type="pct"/>
            <w:tcBorders>
              <w:tl2br w:val="nil"/>
              <w:tr2bl w:val="nil"/>
            </w:tcBorders>
            <w:shd w:val="clear" w:color="auto" w:fill="auto"/>
            <w:vAlign w:val="center"/>
          </w:tcPr>
          <w:p w14:paraId="210E5AE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2"/>
                <w:rFonts w:hint="default" w:ascii="Times New Roman" w:hAnsi="Times New Roman" w:eastAsia="宋体" w:cs="Times New Roman"/>
                <w:color w:val="auto"/>
                <w:sz w:val="21"/>
                <w:szCs w:val="21"/>
                <w:lang w:val="en-US" w:eastAsia="zh-CN" w:bidi="ar"/>
              </w:rPr>
              <w:t>个</w:t>
            </w:r>
          </w:p>
        </w:tc>
        <w:tc>
          <w:tcPr>
            <w:tcW w:w="300" w:type="pct"/>
            <w:tcBorders>
              <w:tl2br w:val="nil"/>
              <w:tr2bl w:val="nil"/>
            </w:tcBorders>
            <w:shd w:val="clear" w:color="auto" w:fill="auto"/>
            <w:vAlign w:val="center"/>
          </w:tcPr>
          <w:p w14:paraId="3E9D55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59" w:type="pct"/>
            <w:tcBorders>
              <w:tl2br w:val="nil"/>
              <w:tr2bl w:val="nil"/>
            </w:tcBorders>
            <w:shd w:val="clear" w:color="auto" w:fill="auto"/>
            <w:noWrap/>
            <w:vAlign w:val="center"/>
          </w:tcPr>
          <w:p w14:paraId="46193E6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Style w:val="44"/>
                <w:rFonts w:hint="default" w:ascii="Times New Roman" w:hAnsi="Times New Roman" w:eastAsia="宋体" w:cs="Times New Roman"/>
                <w:color w:val="auto"/>
                <w:sz w:val="21"/>
                <w:szCs w:val="21"/>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万元</w:t>
            </w:r>
            <w:r>
              <w:rPr>
                <w:rStyle w:val="44"/>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（个</w:t>
            </w:r>
            <w:r>
              <w:rPr>
                <w:rStyle w:val="44"/>
                <w:rFonts w:hint="default" w:ascii="Times New Roman" w:hAnsi="Times New Roman" w:eastAsia="宋体" w:cs="Times New Roman"/>
                <w:color w:val="auto"/>
                <w:sz w:val="21"/>
                <w:szCs w:val="21"/>
                <w:lang w:val="en-US" w:eastAsia="zh-CN" w:bidi="ar"/>
              </w:rPr>
              <w:t>•a</w:t>
            </w:r>
            <w:r>
              <w:rPr>
                <w:rFonts w:hint="default" w:ascii="Times New Roman" w:hAnsi="Times New Roman" w:eastAsia="宋体" w:cs="Times New Roman"/>
                <w:i w:val="0"/>
                <w:iCs w:val="0"/>
                <w:color w:val="auto"/>
                <w:kern w:val="0"/>
                <w:sz w:val="21"/>
                <w:szCs w:val="21"/>
                <w:u w:val="none"/>
                <w:lang w:val="en-US" w:eastAsia="zh-CN" w:bidi="ar"/>
              </w:rPr>
              <w:t>）</w:t>
            </w:r>
          </w:p>
        </w:tc>
        <w:tc>
          <w:tcPr>
            <w:tcW w:w="517" w:type="pct"/>
            <w:tcBorders>
              <w:tl2br w:val="nil"/>
              <w:tr2bl w:val="nil"/>
            </w:tcBorders>
            <w:shd w:val="clear" w:color="auto" w:fill="auto"/>
            <w:vAlign w:val="center"/>
          </w:tcPr>
          <w:p w14:paraId="5EB113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435" w:type="pct"/>
            <w:tcBorders>
              <w:tl2br w:val="nil"/>
              <w:tr2bl w:val="nil"/>
            </w:tcBorders>
            <w:shd w:val="clear" w:color="auto" w:fill="auto"/>
            <w:vAlign w:val="center"/>
          </w:tcPr>
          <w:p w14:paraId="67D0EF47">
            <w:pPr>
              <w:jc w:val="center"/>
              <w:rPr>
                <w:rFonts w:hint="default" w:ascii="Times New Roman" w:hAnsi="Times New Roman" w:eastAsia="宋体" w:cs="Times New Roman"/>
                <w:i w:val="0"/>
                <w:iCs w:val="0"/>
                <w:color w:val="auto"/>
                <w:sz w:val="21"/>
                <w:szCs w:val="21"/>
                <w:u w:val="none"/>
              </w:rPr>
            </w:pPr>
          </w:p>
        </w:tc>
        <w:tc>
          <w:tcPr>
            <w:tcW w:w="440" w:type="pct"/>
            <w:tcBorders>
              <w:tl2br w:val="nil"/>
              <w:tr2bl w:val="nil"/>
            </w:tcBorders>
            <w:shd w:val="clear" w:color="auto" w:fill="auto"/>
            <w:vAlign w:val="center"/>
          </w:tcPr>
          <w:p w14:paraId="771A6F5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716" w:type="pct"/>
            <w:tcBorders>
              <w:tl2br w:val="nil"/>
              <w:tr2bl w:val="nil"/>
            </w:tcBorders>
            <w:shd w:val="clear" w:color="auto" w:fill="auto"/>
            <w:noWrap/>
            <w:vAlign w:val="center"/>
          </w:tcPr>
          <w:p w14:paraId="06806424">
            <w:pPr>
              <w:rPr>
                <w:rFonts w:hint="default" w:ascii="Times New Roman" w:hAnsi="Times New Roman" w:eastAsia="宋体" w:cs="Times New Roman"/>
                <w:i w:val="0"/>
                <w:iCs w:val="0"/>
                <w:color w:val="auto"/>
                <w:sz w:val="21"/>
                <w:szCs w:val="21"/>
                <w:u w:val="none"/>
              </w:rPr>
            </w:pPr>
          </w:p>
        </w:tc>
      </w:tr>
      <w:tr w14:paraId="27D6886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3" w:type="pct"/>
            <w:tcBorders>
              <w:tl2br w:val="nil"/>
              <w:tr2bl w:val="nil"/>
            </w:tcBorders>
            <w:shd w:val="clear" w:color="auto" w:fill="auto"/>
            <w:vAlign w:val="center"/>
          </w:tcPr>
          <w:p w14:paraId="15EF723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七</w:t>
            </w:r>
          </w:p>
        </w:tc>
        <w:tc>
          <w:tcPr>
            <w:tcW w:w="1323" w:type="pct"/>
            <w:tcBorders>
              <w:tl2br w:val="nil"/>
              <w:tr2bl w:val="nil"/>
            </w:tcBorders>
            <w:shd w:val="clear" w:color="auto" w:fill="auto"/>
            <w:vAlign w:val="center"/>
          </w:tcPr>
          <w:p w14:paraId="4968024B">
            <w:pPr>
              <w:keepNext w:val="0"/>
              <w:keepLines w:val="0"/>
              <w:widowControl/>
              <w:suppressLineNumbers w:val="0"/>
              <w:jc w:val="left"/>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合     计</w:t>
            </w:r>
          </w:p>
        </w:tc>
        <w:tc>
          <w:tcPr>
            <w:tcW w:w="294" w:type="pct"/>
            <w:tcBorders>
              <w:tl2br w:val="nil"/>
              <w:tr2bl w:val="nil"/>
            </w:tcBorders>
            <w:shd w:val="clear" w:color="auto" w:fill="auto"/>
            <w:vAlign w:val="center"/>
          </w:tcPr>
          <w:p w14:paraId="3845DBA8">
            <w:pPr>
              <w:rPr>
                <w:rFonts w:hint="default" w:ascii="Times New Roman" w:hAnsi="Times New Roman" w:eastAsia="宋体" w:cs="Times New Roman"/>
                <w:b/>
                <w:bCs/>
                <w:i w:val="0"/>
                <w:iCs w:val="0"/>
                <w:color w:val="auto"/>
                <w:sz w:val="21"/>
                <w:szCs w:val="21"/>
                <w:u w:val="none"/>
              </w:rPr>
            </w:pPr>
          </w:p>
        </w:tc>
        <w:tc>
          <w:tcPr>
            <w:tcW w:w="300" w:type="pct"/>
            <w:tcBorders>
              <w:tl2br w:val="nil"/>
              <w:tr2bl w:val="nil"/>
            </w:tcBorders>
            <w:shd w:val="clear" w:color="auto" w:fill="auto"/>
            <w:vAlign w:val="center"/>
          </w:tcPr>
          <w:p w14:paraId="5668CBB6">
            <w:pPr>
              <w:rPr>
                <w:rFonts w:hint="default" w:ascii="Times New Roman" w:hAnsi="Times New Roman" w:eastAsia="宋体" w:cs="Times New Roman"/>
                <w:b/>
                <w:bCs/>
                <w:i w:val="0"/>
                <w:iCs w:val="0"/>
                <w:color w:val="auto"/>
                <w:sz w:val="21"/>
                <w:szCs w:val="21"/>
                <w:u w:val="none"/>
              </w:rPr>
            </w:pPr>
          </w:p>
        </w:tc>
        <w:tc>
          <w:tcPr>
            <w:tcW w:w="659" w:type="pct"/>
            <w:tcBorders>
              <w:tl2br w:val="nil"/>
              <w:tr2bl w:val="nil"/>
            </w:tcBorders>
            <w:shd w:val="clear" w:color="auto" w:fill="auto"/>
            <w:vAlign w:val="center"/>
          </w:tcPr>
          <w:p w14:paraId="3111003B">
            <w:pPr>
              <w:rPr>
                <w:rFonts w:hint="default" w:ascii="Times New Roman" w:hAnsi="Times New Roman" w:eastAsia="宋体" w:cs="Times New Roman"/>
                <w:b/>
                <w:bCs/>
                <w:i w:val="0"/>
                <w:iCs w:val="0"/>
                <w:color w:val="auto"/>
                <w:sz w:val="21"/>
                <w:szCs w:val="21"/>
                <w:u w:val="none"/>
              </w:rPr>
            </w:pPr>
          </w:p>
        </w:tc>
        <w:tc>
          <w:tcPr>
            <w:tcW w:w="517" w:type="pct"/>
            <w:tcBorders>
              <w:tl2br w:val="nil"/>
              <w:tr2bl w:val="nil"/>
            </w:tcBorders>
            <w:shd w:val="clear" w:color="auto" w:fill="auto"/>
            <w:vAlign w:val="center"/>
          </w:tcPr>
          <w:p w14:paraId="1651024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2415797 </w:t>
            </w:r>
          </w:p>
        </w:tc>
        <w:tc>
          <w:tcPr>
            <w:tcW w:w="435" w:type="pct"/>
            <w:tcBorders>
              <w:tl2br w:val="nil"/>
              <w:tr2bl w:val="nil"/>
            </w:tcBorders>
            <w:shd w:val="clear" w:color="auto" w:fill="auto"/>
            <w:vAlign w:val="center"/>
          </w:tcPr>
          <w:p w14:paraId="097ACE3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1378246 </w:t>
            </w:r>
          </w:p>
        </w:tc>
        <w:tc>
          <w:tcPr>
            <w:tcW w:w="440" w:type="pct"/>
            <w:tcBorders>
              <w:tl2br w:val="nil"/>
              <w:tr2bl w:val="nil"/>
            </w:tcBorders>
            <w:shd w:val="clear" w:color="auto" w:fill="auto"/>
            <w:vAlign w:val="center"/>
          </w:tcPr>
          <w:p w14:paraId="23D1B0B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 xml:space="preserve">1037551 </w:t>
            </w:r>
          </w:p>
        </w:tc>
        <w:tc>
          <w:tcPr>
            <w:tcW w:w="716" w:type="pct"/>
            <w:tcBorders>
              <w:tl2br w:val="nil"/>
              <w:tr2bl w:val="nil"/>
            </w:tcBorders>
            <w:shd w:val="clear" w:color="auto" w:fill="auto"/>
            <w:noWrap/>
            <w:vAlign w:val="center"/>
          </w:tcPr>
          <w:p w14:paraId="5311D26B">
            <w:pPr>
              <w:rPr>
                <w:rFonts w:hint="default" w:ascii="Times New Roman" w:hAnsi="Times New Roman" w:eastAsia="宋体" w:cs="Times New Roman"/>
                <w:i w:val="0"/>
                <w:iCs w:val="0"/>
                <w:color w:val="auto"/>
                <w:sz w:val="21"/>
                <w:szCs w:val="21"/>
                <w:u w:val="none"/>
              </w:rPr>
            </w:pPr>
          </w:p>
        </w:tc>
      </w:tr>
    </w:tbl>
    <w:p w14:paraId="29F1690E">
      <w:pPr>
        <w:pStyle w:val="18"/>
        <w:rPr>
          <w:rFonts w:hint="eastAsia" w:ascii="Times New Roman" w:hAnsi="Times New Roman" w:eastAsia="宋体" w:cs="Times New Roman"/>
          <w:snapToGrid w:val="0"/>
          <w:color w:val="auto"/>
          <w:sz w:val="28"/>
          <w:szCs w:val="28"/>
        </w:rPr>
      </w:pPr>
    </w:p>
    <w:p w14:paraId="6353EC5B">
      <w:pPr>
        <w:pStyle w:val="18"/>
        <w:rPr>
          <w:rFonts w:hint="eastAsia" w:ascii="Times New Roman" w:hAnsi="Times New Roman" w:eastAsia="宋体" w:cs="Times New Roman"/>
          <w:snapToGrid w:val="0"/>
          <w:color w:val="auto"/>
          <w:sz w:val="28"/>
          <w:szCs w:val="28"/>
        </w:rPr>
        <w:sectPr>
          <w:headerReference r:id="rId24" w:type="default"/>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14:paraId="788D2CAB">
      <w:pPr>
        <w:pStyle w:val="7"/>
        <w:bidi w:val="0"/>
        <w:rPr>
          <w:rFonts w:hint="default" w:ascii="黑体" w:hAnsi="黑体" w:eastAsia="黑体" w:cs="黑体"/>
          <w:color w:val="auto"/>
          <w:sz w:val="28"/>
          <w:szCs w:val="28"/>
          <w:lang w:val="en-US" w:eastAsia="zh-CN"/>
        </w:rPr>
      </w:pPr>
      <w:bookmarkStart w:id="266" w:name="_Toc12498"/>
      <w:bookmarkStart w:id="267" w:name="_Toc19625"/>
      <w:bookmarkStart w:id="268" w:name="_Toc22183"/>
      <w:bookmarkStart w:id="269" w:name="_Toc26429"/>
      <w:bookmarkStart w:id="270" w:name="_Toc27969"/>
      <w:r>
        <w:rPr>
          <w:rFonts w:hint="eastAsia" w:ascii="黑体" w:hAnsi="黑体" w:eastAsia="黑体" w:cs="黑体"/>
          <w:color w:val="auto"/>
          <w:sz w:val="28"/>
          <w:szCs w:val="28"/>
          <w:lang w:val="en-US" w:eastAsia="zh-CN"/>
        </w:rPr>
        <w:t>二、资金筹措</w:t>
      </w:r>
      <w:bookmarkEnd w:id="266"/>
      <w:bookmarkEnd w:id="267"/>
      <w:bookmarkEnd w:id="268"/>
      <w:bookmarkEnd w:id="269"/>
      <w:bookmarkEnd w:id="270"/>
    </w:p>
    <w:p w14:paraId="1B28A34F">
      <w:pPr>
        <w:ind w:firstLine="560" w:firstLineChars="200"/>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积极争取中央支持，省级财政给予适当补助，市县财政加大投入力度，鼓励、引导社会和民间投资等共同完成水土流失防治任务。</w:t>
      </w:r>
    </w:p>
    <w:p w14:paraId="3FCAC86E">
      <w:pPr>
        <w:pStyle w:val="1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rPr>
        <w:t>规划总投资</w:t>
      </w:r>
      <w:r>
        <w:rPr>
          <w:rFonts w:hint="eastAsia" w:ascii="Times New Roman" w:hAnsi="Times New Roman" w:eastAsia="宋体" w:cs="Times New Roman"/>
          <w:snapToGrid w:val="0"/>
          <w:color w:val="auto"/>
          <w:sz w:val="28"/>
          <w:szCs w:val="28"/>
          <w:lang w:val="en-US" w:eastAsia="zh-CN"/>
        </w:rPr>
        <w:t>2415797万</w:t>
      </w:r>
      <w:r>
        <w:rPr>
          <w:rFonts w:hint="eastAsia" w:ascii="Times New Roman" w:hAnsi="Times New Roman" w:eastAsia="宋体" w:cs="Times New Roman"/>
          <w:snapToGrid w:val="0"/>
          <w:color w:val="auto"/>
          <w:sz w:val="28"/>
          <w:szCs w:val="28"/>
        </w:rPr>
        <w:t>元，</w:t>
      </w:r>
      <w:r>
        <w:rPr>
          <w:rFonts w:hint="eastAsia" w:ascii="Times New Roman" w:hAnsi="Times New Roman" w:eastAsia="宋体" w:cs="Times New Roman"/>
          <w:snapToGrid w:val="0"/>
          <w:color w:val="auto"/>
          <w:sz w:val="28"/>
          <w:szCs w:val="28"/>
          <w:lang w:val="en-US" w:eastAsia="zh-CN"/>
        </w:rPr>
        <w:t>其中计划争取中央资金1378246万元，计划争取地方配套资金1037551万元。</w:t>
      </w:r>
    </w:p>
    <w:p w14:paraId="0E589820">
      <w:pPr>
        <w:pStyle w:val="18"/>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规划总投资中，其中水利部门计划投资224815万元，林业部门计划投资710000万元，自然资源部门计划投资410908万元，农业农村部门计划投资880200万元，其他部门189874万元。</w:t>
      </w:r>
    </w:p>
    <w:p w14:paraId="2E37360A">
      <w:pPr>
        <w:pStyle w:val="18"/>
        <w:rPr>
          <w:rFonts w:hint="eastAsia" w:ascii="Times New Roman" w:hAnsi="Times New Roman" w:eastAsia="宋体" w:cs="Times New Roman"/>
          <w:snapToGrid w:val="0"/>
          <w:color w:val="auto"/>
          <w:sz w:val="28"/>
          <w:szCs w:val="28"/>
          <w:lang w:val="en-US" w:eastAsia="zh-CN"/>
        </w:rPr>
      </w:pPr>
    </w:p>
    <w:p w14:paraId="38D1FBFC">
      <w:pPr>
        <w:ind w:firstLine="700" w:firstLineChars="250"/>
        <w:rPr>
          <w:rFonts w:hint="eastAsia" w:ascii="Times New Roman" w:hAnsi="Times New Roman" w:eastAsia="宋体" w:cs="Times New Roman"/>
          <w:snapToGrid w:val="0"/>
          <w:color w:val="auto"/>
          <w:sz w:val="28"/>
          <w:szCs w:val="28"/>
          <w:lang w:val="en-US" w:eastAsia="zh-CN"/>
        </w:rPr>
        <w:sectPr>
          <w:headerReference r:id="rId2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159A8EA">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bCs w:val="0"/>
          <w:color w:val="auto"/>
          <w:kern w:val="44"/>
          <w:sz w:val="36"/>
          <w:szCs w:val="36"/>
          <w:lang w:val="en-US" w:eastAsia="zh-CN" w:bidi="ar-SA"/>
        </w:rPr>
      </w:pPr>
      <w:bookmarkStart w:id="271" w:name="_Toc26366"/>
      <w:bookmarkStart w:id="272" w:name="_Toc32476"/>
      <w:bookmarkStart w:id="273" w:name="_Toc7054"/>
      <w:bookmarkStart w:id="274" w:name="_Toc7139"/>
      <w:bookmarkStart w:id="275" w:name="_Toc2675"/>
      <w:r>
        <w:rPr>
          <w:rFonts w:hint="eastAsia" w:ascii="方正小标宋_GBK" w:hAnsi="Times New Roman" w:eastAsia="方正小标宋_GBK" w:cs="Times New Roman"/>
          <w:b/>
          <w:bCs w:val="0"/>
          <w:color w:val="auto"/>
          <w:kern w:val="44"/>
          <w:sz w:val="36"/>
          <w:szCs w:val="36"/>
          <w:lang w:val="en-US" w:eastAsia="zh-CN" w:bidi="ar-SA"/>
        </w:rPr>
        <w:t>第十一章 工程效益评价</w:t>
      </w:r>
      <w:bookmarkEnd w:id="271"/>
      <w:bookmarkEnd w:id="272"/>
    </w:p>
    <w:p w14:paraId="7925386B">
      <w:pPr>
        <w:pStyle w:val="7"/>
        <w:bidi w:val="0"/>
        <w:rPr>
          <w:rFonts w:hint="eastAsia" w:ascii="黑体" w:hAnsi="黑体" w:eastAsia="黑体" w:cs="黑体"/>
          <w:color w:val="auto"/>
          <w:sz w:val="32"/>
          <w:szCs w:val="32"/>
          <w:lang w:val="en-US" w:eastAsia="zh-CN"/>
        </w:rPr>
      </w:pPr>
      <w:bookmarkStart w:id="276" w:name="_Toc2187"/>
      <w:bookmarkStart w:id="277" w:name="_Toc22899"/>
      <w:r>
        <w:rPr>
          <w:rFonts w:hint="eastAsia" w:ascii="黑体" w:hAnsi="黑体" w:eastAsia="黑体" w:cs="黑体"/>
          <w:color w:val="auto"/>
          <w:sz w:val="32"/>
          <w:szCs w:val="32"/>
          <w:lang w:val="en-US" w:eastAsia="zh-CN"/>
        </w:rPr>
        <w:t>一、生态效益</w:t>
      </w:r>
      <w:bookmarkEnd w:id="276"/>
      <w:bookmarkEnd w:id="277"/>
    </w:p>
    <w:p w14:paraId="71E30E3D">
      <w:pPr>
        <w:ind w:firstLine="648" w:firstLineChars="250"/>
        <w:rPr>
          <w:rFonts w:hint="default" w:ascii="Times New Roman" w:hAnsi="Times New Roman" w:cs="Times New Roman" w:eastAsiaTheme="majorEastAsia"/>
          <w:b/>
          <w:color w:val="auto"/>
          <w:spacing w:val="-4"/>
          <w:w w:val="95"/>
          <w:sz w:val="28"/>
          <w:lang w:val="en-US" w:eastAsia="zh-CN"/>
        </w:rPr>
      </w:pPr>
      <w:r>
        <w:rPr>
          <w:rFonts w:hint="default" w:ascii="Times New Roman" w:hAnsi="Times New Roman" w:cs="Times New Roman" w:eastAsiaTheme="majorEastAsia"/>
          <w:b/>
          <w:color w:val="auto"/>
          <w:spacing w:val="-4"/>
          <w:w w:val="95"/>
          <w:sz w:val="28"/>
          <w:lang w:val="en-US" w:eastAsia="zh-CN"/>
        </w:rPr>
        <w:t>（1）水土保持率</w:t>
      </w:r>
    </w:p>
    <w:p w14:paraId="1BE0B818">
      <w:pPr>
        <w:ind w:firstLine="675" w:firstLineChars="250"/>
        <w:rPr>
          <w:rFonts w:hint="default" w:ascii="Times New Roman" w:hAnsi="Times New Roman" w:cs="Times New Roman" w:eastAsiaTheme="majorEastAsia"/>
          <w:color w:val="auto"/>
          <w:sz w:val="28"/>
          <w:szCs w:val="28"/>
        </w:rPr>
      </w:pPr>
      <w:r>
        <w:rPr>
          <w:rFonts w:hint="default" w:ascii="Times New Roman" w:hAnsi="Times New Roman" w:cs="Times New Roman" w:eastAsiaTheme="majorEastAsia"/>
          <w:color w:val="auto"/>
          <w:kern w:val="0"/>
          <w:sz w:val="27"/>
          <w:szCs w:val="27"/>
          <w:lang w:val="en-US" w:eastAsia="zh-CN" w:bidi="ar"/>
        </w:rPr>
        <w:t>通过十四五水土保持规划实施，</w:t>
      </w:r>
      <w:r>
        <w:rPr>
          <w:rFonts w:hint="default" w:ascii="Times New Roman" w:hAnsi="Times New Roman" w:cs="Times New Roman" w:eastAsiaTheme="majorEastAsia"/>
          <w:color w:val="auto"/>
          <w:sz w:val="28"/>
          <w:szCs w:val="28"/>
          <w:lang w:val="en-US" w:eastAsia="zh-CN"/>
        </w:rPr>
        <w:t>到2025年，</w:t>
      </w:r>
      <w:r>
        <w:rPr>
          <w:rFonts w:hint="default" w:ascii="Times New Roman" w:hAnsi="Times New Roman" w:cs="Times New Roman" w:eastAsiaTheme="majorEastAsia"/>
          <w:color w:val="auto"/>
          <w:sz w:val="28"/>
          <w:szCs w:val="28"/>
          <w:lang w:eastAsia="zh-CN"/>
        </w:rPr>
        <w:t>全省</w:t>
      </w:r>
      <w:r>
        <w:rPr>
          <w:rFonts w:hint="default" w:ascii="Times New Roman" w:hAnsi="Times New Roman" w:cs="Times New Roman" w:eastAsiaTheme="majorEastAsia"/>
          <w:color w:val="auto"/>
          <w:sz w:val="28"/>
          <w:szCs w:val="28"/>
          <w:lang w:val="en-US" w:eastAsia="zh-CN"/>
        </w:rPr>
        <w:t>新增</w:t>
      </w:r>
      <w:r>
        <w:rPr>
          <w:rFonts w:hint="default" w:ascii="Times New Roman" w:hAnsi="Times New Roman" w:cs="Times New Roman" w:eastAsiaTheme="majorEastAsia"/>
          <w:color w:val="auto"/>
          <w:sz w:val="28"/>
          <w:szCs w:val="28"/>
          <w:lang w:eastAsia="zh-CN"/>
        </w:rPr>
        <w:t>水土流失重点预防面积</w:t>
      </w:r>
      <w:r>
        <w:rPr>
          <w:rFonts w:hint="default" w:ascii="Times New Roman" w:hAnsi="Times New Roman" w:cs="Times New Roman" w:eastAsiaTheme="majorEastAsia"/>
          <w:color w:val="auto"/>
          <w:sz w:val="28"/>
          <w:szCs w:val="28"/>
          <w:lang w:val="en-US" w:eastAsia="zh-CN"/>
        </w:rPr>
        <w:t>7800</w:t>
      </w:r>
      <w:r>
        <w:rPr>
          <w:rFonts w:hint="default" w:ascii="Times New Roman" w:hAnsi="Times New Roman" w:cs="Times New Roman" w:eastAsiaTheme="majorEastAsia"/>
          <w:color w:val="auto"/>
          <w:sz w:val="28"/>
          <w:szCs w:val="28"/>
          <w:lang w:eastAsia="zh-CN"/>
        </w:rPr>
        <w:t>km</w:t>
      </w:r>
      <w:r>
        <w:rPr>
          <w:rFonts w:hint="default" w:ascii="Times New Roman" w:hAnsi="Times New Roman" w:cs="Times New Roman" w:eastAsiaTheme="majorEastAsia"/>
          <w:color w:val="auto"/>
          <w:sz w:val="28"/>
          <w:szCs w:val="28"/>
          <w:vertAlign w:val="superscript"/>
          <w:lang w:eastAsia="zh-CN"/>
        </w:rPr>
        <w:t>2</w:t>
      </w:r>
      <w:r>
        <w:rPr>
          <w:rFonts w:hint="default" w:ascii="Times New Roman" w:hAnsi="Times New Roman" w:cs="Times New Roman" w:eastAsiaTheme="majorEastAsia"/>
          <w:color w:val="auto"/>
          <w:sz w:val="28"/>
          <w:szCs w:val="28"/>
          <w:lang w:eastAsia="zh-CN"/>
        </w:rPr>
        <w:t>，</w:t>
      </w:r>
      <w:r>
        <w:rPr>
          <w:rFonts w:hint="default" w:ascii="Times New Roman" w:hAnsi="Times New Roman" w:cs="Times New Roman" w:eastAsiaTheme="majorEastAsia"/>
          <w:color w:val="auto"/>
          <w:sz w:val="28"/>
          <w:szCs w:val="28"/>
          <w:lang w:val="en-US" w:eastAsia="zh-CN"/>
        </w:rPr>
        <w:t>治理面积14900km</w:t>
      </w:r>
      <w:r>
        <w:rPr>
          <w:rFonts w:hint="default" w:ascii="Times New Roman" w:hAnsi="Times New Roman" w:cs="Times New Roman" w:eastAsiaTheme="majorEastAsia"/>
          <w:color w:val="auto"/>
          <w:sz w:val="28"/>
          <w:szCs w:val="28"/>
          <w:vertAlign w:val="superscript"/>
          <w:lang w:val="en-US" w:eastAsia="zh-CN"/>
        </w:rPr>
        <w:t>2</w:t>
      </w:r>
      <w:r>
        <w:rPr>
          <w:rFonts w:hint="default" w:ascii="Times New Roman" w:hAnsi="Times New Roman" w:cs="Times New Roman" w:eastAsiaTheme="majorEastAsia"/>
          <w:color w:val="auto"/>
          <w:sz w:val="28"/>
          <w:szCs w:val="28"/>
          <w:lang w:val="en-US" w:eastAsia="zh-CN"/>
        </w:rPr>
        <w:t>，水土保持率从“十三五”时期的</w:t>
      </w:r>
      <w:r>
        <w:rPr>
          <w:rFonts w:hint="default" w:ascii="Times New Roman" w:hAnsi="Times New Roman" w:cs="Times New Roman" w:eastAsiaTheme="majorEastAsia"/>
          <w:color w:val="auto"/>
          <w:sz w:val="28"/>
          <w:szCs w:val="28"/>
        </w:rPr>
        <w:t>73.32%</w:t>
      </w:r>
      <w:r>
        <w:rPr>
          <w:rFonts w:hint="default" w:ascii="Times New Roman" w:hAnsi="Times New Roman" w:cs="Times New Roman" w:eastAsiaTheme="majorEastAsia"/>
          <w:color w:val="auto"/>
          <w:sz w:val="28"/>
          <w:szCs w:val="28"/>
          <w:lang w:val="en-US" w:eastAsia="zh-CN"/>
        </w:rPr>
        <w:t>提高至75.05%以上。达到了以防治水土流失、提高生态和人居环境质量为根本出发点，维护和提升区域水土保持功能，强化水土流失综合防治，</w:t>
      </w:r>
      <w:r>
        <w:rPr>
          <w:rFonts w:hint="default" w:ascii="Times New Roman" w:hAnsi="Times New Roman" w:cs="Times New Roman" w:eastAsiaTheme="majorEastAsia"/>
          <w:color w:val="auto"/>
          <w:sz w:val="28"/>
          <w:szCs w:val="28"/>
        </w:rPr>
        <w:t>水土流失实现面积</w:t>
      </w:r>
      <w:r>
        <w:rPr>
          <w:rFonts w:hint="default" w:ascii="Times New Roman" w:hAnsi="Times New Roman" w:cs="Times New Roman" w:eastAsiaTheme="majorEastAsia"/>
          <w:color w:val="auto"/>
          <w:sz w:val="28"/>
          <w:szCs w:val="28"/>
          <w:lang w:val="en-US" w:eastAsia="zh-CN"/>
        </w:rPr>
        <w:t>和</w:t>
      </w:r>
      <w:r>
        <w:rPr>
          <w:rFonts w:hint="default" w:ascii="Times New Roman" w:hAnsi="Times New Roman" w:cs="Times New Roman" w:eastAsiaTheme="majorEastAsia"/>
          <w:color w:val="auto"/>
          <w:sz w:val="28"/>
          <w:szCs w:val="28"/>
        </w:rPr>
        <w:t>强度“双下降”。</w:t>
      </w:r>
    </w:p>
    <w:p w14:paraId="0540D76D">
      <w:pPr>
        <w:ind w:firstLine="648" w:firstLineChars="250"/>
        <w:rPr>
          <w:rFonts w:hint="default" w:ascii="Times New Roman" w:hAnsi="Times New Roman" w:cs="Times New Roman" w:eastAsiaTheme="majorEastAsia"/>
          <w:b/>
          <w:color w:val="auto"/>
          <w:spacing w:val="-4"/>
          <w:w w:val="95"/>
          <w:sz w:val="28"/>
          <w:lang w:val="en-US" w:eastAsia="zh-CN"/>
        </w:rPr>
      </w:pPr>
      <w:r>
        <w:rPr>
          <w:rFonts w:hint="default" w:ascii="Times New Roman" w:hAnsi="Times New Roman" w:cs="Times New Roman" w:eastAsiaTheme="majorEastAsia"/>
          <w:b/>
          <w:color w:val="auto"/>
          <w:spacing w:val="-4"/>
          <w:w w:val="95"/>
          <w:sz w:val="28"/>
          <w:lang w:val="en-US" w:eastAsia="zh-CN"/>
        </w:rPr>
        <w:t>（2）蓄水保土效益</w:t>
      </w:r>
    </w:p>
    <w:p w14:paraId="5D7530C0">
      <w:pPr>
        <w:ind w:firstLine="700" w:firstLineChars="250"/>
        <w:rPr>
          <w:rFonts w:hint="default" w:ascii="Times New Roman" w:hAnsi="Times New Roman" w:cs="Times New Roman" w:eastAsiaTheme="majorEastAsia"/>
          <w:color w:val="auto"/>
          <w:sz w:val="28"/>
          <w:szCs w:val="28"/>
          <w:lang w:val="en-US" w:eastAsia="zh-CN"/>
        </w:rPr>
      </w:pPr>
      <w:r>
        <w:rPr>
          <w:rFonts w:hint="default" w:ascii="Times New Roman" w:hAnsi="Times New Roman" w:cs="Times New Roman" w:eastAsiaTheme="majorEastAsia"/>
          <w:color w:val="auto"/>
          <w:sz w:val="28"/>
          <w:szCs w:val="28"/>
          <w:lang w:val="en-US" w:eastAsia="zh-CN"/>
        </w:rPr>
        <w:t>通过水土流失治理项目，</w:t>
      </w:r>
      <w:r>
        <w:rPr>
          <w:rFonts w:hint="default" w:ascii="Times New Roman" w:hAnsi="Times New Roman" w:cs="Times New Roman" w:eastAsiaTheme="majorEastAsia"/>
          <w:color w:val="auto"/>
          <w:sz w:val="28"/>
          <w:szCs w:val="28"/>
        </w:rPr>
        <w:t>经估算各项治理措施全部发挥效益后，每年增加蓄水</w:t>
      </w:r>
      <w:r>
        <w:rPr>
          <w:rFonts w:hint="eastAsia" w:ascii="Times New Roman" w:hAnsi="Times New Roman" w:cs="Times New Roman" w:eastAsiaTheme="majorEastAsia"/>
          <w:color w:val="auto"/>
          <w:sz w:val="28"/>
          <w:szCs w:val="28"/>
          <w:lang w:val="en-US" w:eastAsia="zh-CN"/>
        </w:rPr>
        <w:t>约5</w:t>
      </w:r>
      <w:r>
        <w:rPr>
          <w:rFonts w:hint="default" w:ascii="Times New Roman" w:hAnsi="Times New Roman" w:cs="Times New Roman" w:eastAsiaTheme="majorEastAsia"/>
          <w:color w:val="auto"/>
          <w:sz w:val="28"/>
          <w:szCs w:val="28"/>
        </w:rPr>
        <w:t>亿</w:t>
      </w:r>
      <w:r>
        <w:rPr>
          <w:rFonts w:hint="default" w:ascii="Times New Roman" w:hAnsi="Times New Roman" w:cs="Times New Roman" w:eastAsiaTheme="majorEastAsia"/>
          <w:color w:val="auto"/>
          <w:sz w:val="28"/>
          <w:szCs w:val="28"/>
          <w:lang w:val="en-US" w:eastAsia="zh-CN"/>
        </w:rPr>
        <w:t>立方米</w:t>
      </w:r>
      <w:r>
        <w:rPr>
          <w:rFonts w:hint="default" w:ascii="Times New Roman" w:hAnsi="Times New Roman" w:cs="Times New Roman" w:eastAsiaTheme="majorEastAsia"/>
          <w:color w:val="auto"/>
          <w:sz w:val="28"/>
          <w:szCs w:val="28"/>
        </w:rPr>
        <w:t>，保土量</w:t>
      </w:r>
      <w:r>
        <w:rPr>
          <w:rFonts w:hint="eastAsia" w:ascii="Times New Roman" w:hAnsi="Times New Roman" w:cs="Times New Roman" w:eastAsiaTheme="majorEastAsia"/>
          <w:color w:val="auto"/>
          <w:sz w:val="28"/>
          <w:szCs w:val="28"/>
          <w:lang w:val="en-US" w:eastAsia="zh-CN"/>
        </w:rPr>
        <w:t>约280</w:t>
      </w:r>
      <w:r>
        <w:rPr>
          <w:rFonts w:hint="default" w:ascii="Times New Roman" w:hAnsi="Times New Roman" w:cs="Times New Roman" w:eastAsiaTheme="majorEastAsia"/>
          <w:color w:val="auto"/>
          <w:sz w:val="28"/>
          <w:szCs w:val="28"/>
          <w:lang w:val="en-US" w:eastAsia="zh-CN"/>
        </w:rPr>
        <w:t>万吨</w:t>
      </w:r>
      <w:r>
        <w:rPr>
          <w:rFonts w:hint="default" w:ascii="Times New Roman" w:hAnsi="Times New Roman" w:cs="Times New Roman" w:eastAsiaTheme="majorEastAsia"/>
          <w:color w:val="auto"/>
          <w:sz w:val="28"/>
          <w:szCs w:val="28"/>
        </w:rPr>
        <w:t>。</w:t>
      </w:r>
      <w:r>
        <w:rPr>
          <w:rFonts w:hint="default" w:ascii="Times New Roman" w:hAnsi="Times New Roman" w:cs="Times New Roman" w:eastAsiaTheme="majorEastAsia"/>
          <w:color w:val="auto"/>
          <w:sz w:val="28"/>
          <w:szCs w:val="28"/>
          <w:lang w:val="en-US" w:eastAsia="zh-CN"/>
        </w:rPr>
        <w:t>有效的防止水土流失，达到“蓄水保土”的作用。</w:t>
      </w:r>
    </w:p>
    <w:p w14:paraId="7AD06E8D">
      <w:pPr>
        <w:keepNext w:val="0"/>
        <w:keepLines w:val="0"/>
        <w:pageBreakBefore w:val="0"/>
        <w:widowControl w:val="0"/>
        <w:kinsoku/>
        <w:wordWrap/>
        <w:overflowPunct/>
        <w:topLinePunct w:val="0"/>
        <w:autoSpaceDE/>
        <w:autoSpaceDN/>
        <w:bidi w:val="0"/>
        <w:adjustRightInd/>
        <w:snapToGrid w:val="0"/>
        <w:spacing w:before="120" w:after="0" w:line="240" w:lineRule="auto"/>
        <w:jc w:val="both"/>
        <w:textAlignment w:val="auto"/>
        <w:rPr>
          <w:rFonts w:hint="default" w:ascii="Times New Roman" w:hAnsi="Times New Roman" w:cs="Times New Roman" w:eastAsiaTheme="majorEastAsia"/>
          <w:b/>
          <w:bCs/>
          <w:color w:val="auto"/>
          <w:sz w:val="28"/>
          <w:szCs w:val="28"/>
          <w:lang w:val="en-US" w:eastAsia="zh-CN"/>
        </w:rPr>
      </w:pPr>
      <w:r>
        <w:rPr>
          <w:rFonts w:hint="default" w:ascii="Times New Roman" w:hAnsi="Times New Roman" w:cs="Times New Roman" w:eastAsiaTheme="majorEastAsia"/>
          <w:b/>
          <w:bCs/>
          <w:color w:val="auto"/>
          <w:sz w:val="28"/>
          <w:szCs w:val="28"/>
          <w:lang w:val="en-US" w:eastAsia="zh-CN"/>
        </w:rPr>
        <w:t>表 11-1</w:t>
      </w:r>
      <w:r>
        <w:rPr>
          <w:rFonts w:hint="default" w:ascii="Times New Roman" w:hAnsi="Times New Roman" w:cs="Times New Roman" w:eastAsiaTheme="majorEastAsia"/>
          <w:b/>
          <w:bCs/>
          <w:color w:val="auto"/>
          <w:sz w:val="28"/>
          <w:szCs w:val="28"/>
          <w:lang w:val="en-US" w:eastAsia="zh-CN"/>
        </w:rPr>
        <w:tab/>
      </w:r>
      <w:r>
        <w:rPr>
          <w:rFonts w:hint="eastAsia" w:ascii="Times New Roman" w:hAnsi="Times New Roman" w:cs="Times New Roman" w:eastAsiaTheme="majorEastAsia"/>
          <w:b/>
          <w:bCs/>
          <w:color w:val="auto"/>
          <w:sz w:val="28"/>
          <w:szCs w:val="28"/>
          <w:lang w:val="en-US" w:eastAsia="zh-CN"/>
        </w:rPr>
        <w:t xml:space="preserve">            </w:t>
      </w:r>
      <w:r>
        <w:rPr>
          <w:rFonts w:hint="default" w:ascii="Times New Roman" w:hAnsi="Times New Roman" w:cs="Times New Roman" w:eastAsiaTheme="majorEastAsia"/>
          <w:b/>
          <w:bCs/>
          <w:color w:val="auto"/>
          <w:sz w:val="28"/>
          <w:szCs w:val="28"/>
          <w:lang w:val="en-US" w:eastAsia="zh-CN"/>
        </w:rPr>
        <w:t>蓄水保土效益估算表</w:t>
      </w:r>
    </w:p>
    <w:tbl>
      <w:tblPr>
        <w:tblStyle w:val="19"/>
        <w:tblW w:w="4998"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shd w:val="clear" w:color="auto" w:fill="auto"/>
        <w:tblLayout w:type="autofit"/>
        <w:tblCellMar>
          <w:top w:w="0" w:type="dxa"/>
          <w:left w:w="0" w:type="dxa"/>
          <w:bottom w:w="0" w:type="dxa"/>
          <w:right w:w="0" w:type="dxa"/>
        </w:tblCellMar>
      </w:tblPr>
      <w:tblGrid>
        <w:gridCol w:w="823"/>
        <w:gridCol w:w="763"/>
        <w:gridCol w:w="811"/>
        <w:gridCol w:w="768"/>
        <w:gridCol w:w="914"/>
        <w:gridCol w:w="668"/>
        <w:gridCol w:w="885"/>
        <w:gridCol w:w="810"/>
        <w:gridCol w:w="826"/>
        <w:gridCol w:w="1065"/>
      </w:tblGrid>
      <w:tr w14:paraId="56F461E9">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shd w:val="clear" w:color="auto" w:fill="auto"/>
          <w:tblCellMar>
            <w:top w:w="0" w:type="dxa"/>
            <w:left w:w="0" w:type="dxa"/>
            <w:bottom w:w="0" w:type="dxa"/>
            <w:right w:w="0" w:type="dxa"/>
          </w:tblCellMar>
        </w:tblPrEx>
        <w:trPr>
          <w:trHeight w:val="300" w:hRule="atLeast"/>
        </w:trPr>
        <w:tc>
          <w:tcPr>
            <w:tcW w:w="823" w:type="dxa"/>
            <w:vMerge w:val="restart"/>
            <w:tcBorders>
              <w:tl2br w:val="nil"/>
              <w:tr2bl w:val="nil"/>
            </w:tcBorders>
            <w:shd w:val="clear" w:color="auto" w:fill="auto"/>
            <w:tcMar>
              <w:top w:w="15" w:type="dxa"/>
              <w:left w:w="15" w:type="dxa"/>
              <w:right w:w="15" w:type="dxa"/>
            </w:tcMar>
            <w:vAlign w:val="center"/>
          </w:tcPr>
          <w:p w14:paraId="01D2B63B">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项目</w:t>
            </w:r>
          </w:p>
        </w:tc>
        <w:tc>
          <w:tcPr>
            <w:tcW w:w="2474" w:type="dxa"/>
            <w:gridSpan w:val="3"/>
            <w:tcBorders>
              <w:tl2br w:val="nil"/>
              <w:tr2bl w:val="nil"/>
            </w:tcBorders>
            <w:shd w:val="clear" w:color="auto" w:fill="auto"/>
            <w:tcMar>
              <w:top w:w="15" w:type="dxa"/>
              <w:left w:w="15" w:type="dxa"/>
              <w:right w:w="15" w:type="dxa"/>
            </w:tcMar>
            <w:vAlign w:val="center"/>
          </w:tcPr>
          <w:p w14:paraId="4E6B7B80">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治理措施</w:t>
            </w:r>
          </w:p>
        </w:tc>
        <w:tc>
          <w:tcPr>
            <w:tcW w:w="1651" w:type="dxa"/>
            <w:gridSpan w:val="2"/>
            <w:tcBorders>
              <w:tl2br w:val="nil"/>
              <w:tr2bl w:val="nil"/>
            </w:tcBorders>
            <w:shd w:val="clear" w:color="auto" w:fill="auto"/>
            <w:tcMar>
              <w:top w:w="15" w:type="dxa"/>
              <w:left w:w="15" w:type="dxa"/>
              <w:right w:w="15" w:type="dxa"/>
            </w:tcMar>
            <w:vAlign w:val="center"/>
          </w:tcPr>
          <w:p w14:paraId="122A19B3">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保土效益定额</w:t>
            </w:r>
          </w:p>
        </w:tc>
        <w:tc>
          <w:tcPr>
            <w:tcW w:w="885" w:type="dxa"/>
            <w:tcBorders>
              <w:tl2br w:val="nil"/>
              <w:tr2bl w:val="nil"/>
            </w:tcBorders>
            <w:shd w:val="clear" w:color="auto" w:fill="auto"/>
            <w:tcMar>
              <w:top w:w="15" w:type="dxa"/>
              <w:left w:w="15" w:type="dxa"/>
              <w:right w:w="15" w:type="dxa"/>
            </w:tcMar>
            <w:vAlign w:val="center"/>
          </w:tcPr>
          <w:p w14:paraId="4E0C25C6">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保土效益</w:t>
            </w:r>
          </w:p>
        </w:tc>
        <w:tc>
          <w:tcPr>
            <w:tcW w:w="1651" w:type="dxa"/>
            <w:gridSpan w:val="2"/>
            <w:tcBorders>
              <w:tl2br w:val="nil"/>
              <w:tr2bl w:val="nil"/>
            </w:tcBorders>
            <w:shd w:val="clear" w:color="auto" w:fill="auto"/>
            <w:tcMar>
              <w:top w:w="15" w:type="dxa"/>
              <w:left w:w="15" w:type="dxa"/>
              <w:right w:w="15" w:type="dxa"/>
            </w:tcMar>
            <w:vAlign w:val="center"/>
          </w:tcPr>
          <w:p w14:paraId="5981BD7C">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蓄水效益定额</w:t>
            </w:r>
          </w:p>
        </w:tc>
        <w:tc>
          <w:tcPr>
            <w:tcW w:w="849" w:type="dxa"/>
            <w:tcBorders>
              <w:tl2br w:val="nil"/>
              <w:tr2bl w:val="nil"/>
            </w:tcBorders>
            <w:shd w:val="clear" w:color="auto" w:fill="auto"/>
            <w:tcMar>
              <w:top w:w="15" w:type="dxa"/>
              <w:left w:w="15" w:type="dxa"/>
              <w:right w:w="15" w:type="dxa"/>
            </w:tcMar>
            <w:vAlign w:val="center"/>
          </w:tcPr>
          <w:p w14:paraId="63A2044D">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保水效益</w:t>
            </w:r>
          </w:p>
        </w:tc>
      </w:tr>
      <w:tr w14:paraId="377A78B1">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300" w:hRule="atLeast"/>
        </w:trPr>
        <w:tc>
          <w:tcPr>
            <w:tcW w:w="823" w:type="dxa"/>
            <w:vMerge w:val="continue"/>
            <w:tcBorders>
              <w:tl2br w:val="nil"/>
              <w:tr2bl w:val="nil"/>
            </w:tcBorders>
            <w:shd w:val="clear" w:color="auto" w:fill="auto"/>
            <w:tcMar>
              <w:top w:w="15" w:type="dxa"/>
              <w:left w:w="15" w:type="dxa"/>
              <w:right w:w="15" w:type="dxa"/>
            </w:tcMar>
            <w:vAlign w:val="center"/>
          </w:tcPr>
          <w:p w14:paraId="4DFB3674">
            <w:pPr>
              <w:jc w:val="center"/>
              <w:rPr>
                <w:rFonts w:hint="default" w:ascii="Times New Roman" w:hAnsi="Times New Roman" w:cs="Times New Roman" w:eastAsiaTheme="majorEastAsia"/>
                <w:i w:val="0"/>
                <w:color w:val="auto"/>
                <w:sz w:val="18"/>
                <w:szCs w:val="18"/>
                <w:u w:val="none"/>
              </w:rPr>
            </w:pPr>
          </w:p>
        </w:tc>
        <w:tc>
          <w:tcPr>
            <w:tcW w:w="824" w:type="dxa"/>
            <w:tcBorders>
              <w:tl2br w:val="nil"/>
              <w:tr2bl w:val="nil"/>
            </w:tcBorders>
            <w:shd w:val="clear" w:color="auto" w:fill="auto"/>
            <w:tcMar>
              <w:top w:w="15" w:type="dxa"/>
              <w:left w:w="15" w:type="dxa"/>
              <w:right w:w="15" w:type="dxa"/>
            </w:tcMar>
            <w:vAlign w:val="center"/>
          </w:tcPr>
          <w:p w14:paraId="5698999E">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单位</w:t>
            </w:r>
          </w:p>
        </w:tc>
        <w:tc>
          <w:tcPr>
            <w:tcW w:w="825" w:type="dxa"/>
            <w:tcBorders>
              <w:tl2br w:val="nil"/>
              <w:tr2bl w:val="nil"/>
            </w:tcBorders>
            <w:shd w:val="clear" w:color="auto" w:fill="auto"/>
            <w:tcMar>
              <w:top w:w="15" w:type="dxa"/>
              <w:left w:w="15" w:type="dxa"/>
              <w:right w:w="15" w:type="dxa"/>
            </w:tcMar>
            <w:vAlign w:val="center"/>
          </w:tcPr>
          <w:p w14:paraId="02E34C03">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数量</w:t>
            </w:r>
          </w:p>
        </w:tc>
        <w:tc>
          <w:tcPr>
            <w:tcW w:w="825" w:type="dxa"/>
            <w:tcBorders>
              <w:tl2br w:val="nil"/>
              <w:tr2bl w:val="nil"/>
            </w:tcBorders>
            <w:shd w:val="clear" w:color="auto" w:fill="auto"/>
            <w:tcMar>
              <w:top w:w="15" w:type="dxa"/>
              <w:left w:w="15" w:type="dxa"/>
              <w:right w:w="15" w:type="dxa"/>
            </w:tcMar>
            <w:vAlign w:val="center"/>
          </w:tcPr>
          <w:p w14:paraId="4C7538F6">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保存率</w:t>
            </w:r>
          </w:p>
        </w:tc>
        <w:tc>
          <w:tcPr>
            <w:tcW w:w="963" w:type="dxa"/>
            <w:tcBorders>
              <w:tl2br w:val="nil"/>
              <w:tr2bl w:val="nil"/>
            </w:tcBorders>
            <w:shd w:val="clear" w:color="auto" w:fill="auto"/>
            <w:tcMar>
              <w:top w:w="15" w:type="dxa"/>
              <w:left w:w="15" w:type="dxa"/>
              <w:right w:w="15" w:type="dxa"/>
            </w:tcMar>
            <w:vAlign w:val="center"/>
          </w:tcPr>
          <w:p w14:paraId="69C02131">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单位</w:t>
            </w:r>
          </w:p>
        </w:tc>
        <w:tc>
          <w:tcPr>
            <w:tcW w:w="688" w:type="dxa"/>
            <w:tcBorders>
              <w:tl2br w:val="nil"/>
              <w:tr2bl w:val="nil"/>
            </w:tcBorders>
            <w:shd w:val="clear" w:color="auto" w:fill="auto"/>
            <w:tcMar>
              <w:top w:w="15" w:type="dxa"/>
              <w:left w:w="15" w:type="dxa"/>
              <w:right w:w="15" w:type="dxa"/>
            </w:tcMar>
            <w:vAlign w:val="center"/>
          </w:tcPr>
          <w:p w14:paraId="6554833A">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数量</w:t>
            </w:r>
          </w:p>
        </w:tc>
        <w:tc>
          <w:tcPr>
            <w:tcW w:w="885" w:type="dxa"/>
            <w:tcBorders>
              <w:tl2br w:val="nil"/>
              <w:tr2bl w:val="nil"/>
            </w:tcBorders>
            <w:shd w:val="clear" w:color="auto" w:fill="auto"/>
            <w:tcMar>
              <w:top w:w="15" w:type="dxa"/>
              <w:left w:w="15" w:type="dxa"/>
              <w:right w:w="15" w:type="dxa"/>
            </w:tcMar>
            <w:vAlign w:val="center"/>
          </w:tcPr>
          <w:p w14:paraId="401213BC">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w:t>
            </w:r>
          </w:p>
        </w:tc>
        <w:tc>
          <w:tcPr>
            <w:tcW w:w="825" w:type="dxa"/>
            <w:tcBorders>
              <w:tl2br w:val="nil"/>
              <w:tr2bl w:val="nil"/>
            </w:tcBorders>
            <w:shd w:val="clear" w:color="auto" w:fill="auto"/>
            <w:tcMar>
              <w:top w:w="15" w:type="dxa"/>
              <w:left w:w="15" w:type="dxa"/>
              <w:right w:w="15" w:type="dxa"/>
            </w:tcMar>
            <w:vAlign w:val="center"/>
          </w:tcPr>
          <w:p w14:paraId="19C5130B">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单位</w:t>
            </w:r>
          </w:p>
        </w:tc>
        <w:tc>
          <w:tcPr>
            <w:tcW w:w="826" w:type="dxa"/>
            <w:tcBorders>
              <w:tl2br w:val="nil"/>
              <w:tr2bl w:val="nil"/>
            </w:tcBorders>
            <w:shd w:val="clear" w:color="auto" w:fill="auto"/>
            <w:tcMar>
              <w:top w:w="15" w:type="dxa"/>
              <w:left w:w="15" w:type="dxa"/>
              <w:right w:w="15" w:type="dxa"/>
            </w:tcMar>
            <w:vAlign w:val="center"/>
          </w:tcPr>
          <w:p w14:paraId="4547E2BC">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数量</w:t>
            </w:r>
          </w:p>
        </w:tc>
        <w:tc>
          <w:tcPr>
            <w:tcW w:w="849" w:type="dxa"/>
            <w:tcBorders>
              <w:tl2br w:val="nil"/>
              <w:tr2bl w:val="nil"/>
            </w:tcBorders>
            <w:shd w:val="clear" w:color="auto" w:fill="auto"/>
            <w:tcMar>
              <w:top w:w="15" w:type="dxa"/>
              <w:left w:w="15" w:type="dxa"/>
              <w:right w:w="15" w:type="dxa"/>
            </w:tcMar>
            <w:vAlign w:val="center"/>
          </w:tcPr>
          <w:p w14:paraId="6320CB68">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w:t>
            </w:r>
          </w:p>
        </w:tc>
      </w:tr>
      <w:tr w14:paraId="3021DC60">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shd w:val="clear" w:color="auto" w:fill="auto"/>
          <w:tblCellMar>
            <w:top w:w="0" w:type="dxa"/>
            <w:left w:w="0" w:type="dxa"/>
            <w:bottom w:w="0" w:type="dxa"/>
            <w:right w:w="0" w:type="dxa"/>
          </w:tblCellMar>
        </w:tblPrEx>
        <w:trPr>
          <w:trHeight w:val="285" w:hRule="atLeast"/>
        </w:trPr>
        <w:tc>
          <w:tcPr>
            <w:tcW w:w="823" w:type="dxa"/>
            <w:tcBorders>
              <w:tl2br w:val="nil"/>
              <w:tr2bl w:val="nil"/>
            </w:tcBorders>
            <w:shd w:val="clear" w:color="auto" w:fill="auto"/>
            <w:tcMar>
              <w:top w:w="15" w:type="dxa"/>
              <w:left w:w="15" w:type="dxa"/>
              <w:right w:w="15" w:type="dxa"/>
            </w:tcMar>
            <w:vAlign w:val="center"/>
          </w:tcPr>
          <w:p w14:paraId="2E7DA919">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坡改梯</w:t>
            </w:r>
          </w:p>
        </w:tc>
        <w:tc>
          <w:tcPr>
            <w:tcW w:w="824" w:type="dxa"/>
            <w:tcBorders>
              <w:tl2br w:val="nil"/>
              <w:tr2bl w:val="nil"/>
            </w:tcBorders>
            <w:shd w:val="clear" w:color="auto" w:fill="auto"/>
            <w:tcMar>
              <w:top w:w="15" w:type="dxa"/>
              <w:left w:w="15" w:type="dxa"/>
              <w:right w:w="15" w:type="dxa"/>
            </w:tcMar>
            <w:vAlign w:val="center"/>
          </w:tcPr>
          <w:p w14:paraId="24441AAC">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km²</w:t>
            </w:r>
          </w:p>
        </w:tc>
        <w:tc>
          <w:tcPr>
            <w:tcW w:w="825" w:type="dxa"/>
            <w:tcBorders>
              <w:tl2br w:val="nil"/>
              <w:tr2bl w:val="nil"/>
            </w:tcBorders>
            <w:shd w:val="clear" w:color="auto" w:fill="auto"/>
            <w:tcMar>
              <w:top w:w="15" w:type="dxa"/>
              <w:left w:w="15" w:type="dxa"/>
              <w:right w:w="15" w:type="dxa"/>
            </w:tcMar>
            <w:vAlign w:val="center"/>
          </w:tcPr>
          <w:p w14:paraId="23DCC072">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120.00 </w:t>
            </w:r>
          </w:p>
        </w:tc>
        <w:tc>
          <w:tcPr>
            <w:tcW w:w="825" w:type="dxa"/>
            <w:tcBorders>
              <w:tl2br w:val="nil"/>
              <w:tr2bl w:val="nil"/>
            </w:tcBorders>
            <w:shd w:val="clear" w:color="auto" w:fill="auto"/>
            <w:tcMar>
              <w:top w:w="15" w:type="dxa"/>
              <w:left w:w="15" w:type="dxa"/>
              <w:right w:w="15" w:type="dxa"/>
            </w:tcMar>
            <w:vAlign w:val="center"/>
          </w:tcPr>
          <w:p w14:paraId="2BF02AEF">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0.95 </w:t>
            </w:r>
          </w:p>
        </w:tc>
        <w:tc>
          <w:tcPr>
            <w:tcW w:w="963" w:type="dxa"/>
            <w:tcBorders>
              <w:tl2br w:val="nil"/>
              <w:tr2bl w:val="nil"/>
            </w:tcBorders>
            <w:shd w:val="clear" w:color="auto" w:fill="auto"/>
            <w:tcMar>
              <w:top w:w="15" w:type="dxa"/>
              <w:left w:w="15" w:type="dxa"/>
              <w:right w:w="15" w:type="dxa"/>
            </w:tcMar>
            <w:vAlign w:val="center"/>
          </w:tcPr>
          <w:p w14:paraId="17933210">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t/km²·a</w:t>
            </w:r>
          </w:p>
        </w:tc>
        <w:tc>
          <w:tcPr>
            <w:tcW w:w="688" w:type="dxa"/>
            <w:tcBorders>
              <w:tl2br w:val="nil"/>
              <w:tr2bl w:val="nil"/>
            </w:tcBorders>
            <w:shd w:val="clear" w:color="auto" w:fill="auto"/>
            <w:tcMar>
              <w:top w:w="15" w:type="dxa"/>
              <w:left w:w="15" w:type="dxa"/>
              <w:right w:w="15" w:type="dxa"/>
            </w:tcMar>
            <w:vAlign w:val="center"/>
          </w:tcPr>
          <w:p w14:paraId="44CBB794">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105.72 </w:t>
            </w:r>
          </w:p>
        </w:tc>
        <w:tc>
          <w:tcPr>
            <w:tcW w:w="885" w:type="dxa"/>
            <w:tcBorders>
              <w:tl2br w:val="nil"/>
              <w:tr2bl w:val="nil"/>
            </w:tcBorders>
            <w:shd w:val="clear" w:color="auto" w:fill="auto"/>
            <w:tcMar>
              <w:top w:w="15" w:type="dxa"/>
              <w:left w:w="15" w:type="dxa"/>
              <w:right w:w="15" w:type="dxa"/>
            </w:tcMar>
            <w:vAlign w:val="center"/>
          </w:tcPr>
          <w:p w14:paraId="69AC2223">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12052.08 </w:t>
            </w:r>
          </w:p>
        </w:tc>
        <w:tc>
          <w:tcPr>
            <w:tcW w:w="825" w:type="dxa"/>
            <w:tcBorders>
              <w:tl2br w:val="nil"/>
              <w:tr2bl w:val="nil"/>
            </w:tcBorders>
            <w:shd w:val="clear" w:color="auto" w:fill="auto"/>
            <w:tcMar>
              <w:top w:w="15" w:type="dxa"/>
              <w:left w:w="15" w:type="dxa"/>
              <w:right w:w="15" w:type="dxa"/>
            </w:tcMar>
            <w:vAlign w:val="center"/>
          </w:tcPr>
          <w:p w14:paraId="6799EF69">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/km²·a</w:t>
            </w:r>
          </w:p>
        </w:tc>
        <w:tc>
          <w:tcPr>
            <w:tcW w:w="826" w:type="dxa"/>
            <w:tcBorders>
              <w:tl2br w:val="nil"/>
              <w:tr2bl w:val="nil"/>
            </w:tcBorders>
            <w:shd w:val="clear" w:color="auto" w:fill="auto"/>
            <w:tcMar>
              <w:top w:w="15" w:type="dxa"/>
              <w:left w:w="15" w:type="dxa"/>
              <w:right w:w="15" w:type="dxa"/>
            </w:tcMar>
            <w:vAlign w:val="center"/>
          </w:tcPr>
          <w:p w14:paraId="24E4333F">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90000.00 </w:t>
            </w:r>
          </w:p>
        </w:tc>
        <w:tc>
          <w:tcPr>
            <w:tcW w:w="849" w:type="dxa"/>
            <w:tcBorders>
              <w:tl2br w:val="nil"/>
              <w:tr2bl w:val="nil"/>
            </w:tcBorders>
            <w:shd w:val="clear" w:color="auto" w:fill="auto"/>
            <w:tcMar>
              <w:top w:w="15" w:type="dxa"/>
              <w:left w:w="15" w:type="dxa"/>
              <w:right w:w="15" w:type="dxa"/>
            </w:tcMar>
            <w:vAlign w:val="center"/>
          </w:tcPr>
          <w:p w14:paraId="05F4A9A0">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10260000.00 </w:t>
            </w:r>
          </w:p>
        </w:tc>
      </w:tr>
      <w:tr w14:paraId="325F9338">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85" w:hRule="atLeast"/>
        </w:trPr>
        <w:tc>
          <w:tcPr>
            <w:tcW w:w="823" w:type="dxa"/>
            <w:tcBorders>
              <w:tl2br w:val="nil"/>
              <w:tr2bl w:val="nil"/>
            </w:tcBorders>
            <w:shd w:val="clear" w:color="auto" w:fill="auto"/>
            <w:tcMar>
              <w:top w:w="15" w:type="dxa"/>
              <w:left w:w="15" w:type="dxa"/>
              <w:right w:w="15" w:type="dxa"/>
            </w:tcMar>
            <w:vAlign w:val="center"/>
          </w:tcPr>
          <w:p w14:paraId="10F5E13F">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水保林</w:t>
            </w:r>
          </w:p>
        </w:tc>
        <w:tc>
          <w:tcPr>
            <w:tcW w:w="824" w:type="dxa"/>
            <w:tcBorders>
              <w:tl2br w:val="nil"/>
              <w:tr2bl w:val="nil"/>
            </w:tcBorders>
            <w:shd w:val="clear" w:color="auto" w:fill="auto"/>
            <w:tcMar>
              <w:top w:w="15" w:type="dxa"/>
              <w:left w:w="15" w:type="dxa"/>
              <w:right w:w="15" w:type="dxa"/>
            </w:tcMar>
            <w:vAlign w:val="center"/>
          </w:tcPr>
          <w:p w14:paraId="16C38956">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km²</w:t>
            </w:r>
          </w:p>
        </w:tc>
        <w:tc>
          <w:tcPr>
            <w:tcW w:w="825" w:type="dxa"/>
            <w:tcBorders>
              <w:tl2br w:val="nil"/>
              <w:tr2bl w:val="nil"/>
            </w:tcBorders>
            <w:shd w:val="clear" w:color="auto" w:fill="auto"/>
            <w:tcMar>
              <w:top w:w="15" w:type="dxa"/>
              <w:left w:w="15" w:type="dxa"/>
              <w:right w:w="15" w:type="dxa"/>
            </w:tcMar>
            <w:vAlign w:val="center"/>
          </w:tcPr>
          <w:p w14:paraId="5A29482E">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2946.40 </w:t>
            </w:r>
          </w:p>
        </w:tc>
        <w:tc>
          <w:tcPr>
            <w:tcW w:w="825" w:type="dxa"/>
            <w:tcBorders>
              <w:tl2br w:val="nil"/>
              <w:tr2bl w:val="nil"/>
            </w:tcBorders>
            <w:shd w:val="clear" w:color="auto" w:fill="auto"/>
            <w:tcMar>
              <w:top w:w="15" w:type="dxa"/>
              <w:left w:w="15" w:type="dxa"/>
              <w:right w:w="15" w:type="dxa"/>
            </w:tcMar>
            <w:vAlign w:val="center"/>
          </w:tcPr>
          <w:p w14:paraId="59906CC2">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0.90 </w:t>
            </w:r>
          </w:p>
        </w:tc>
        <w:tc>
          <w:tcPr>
            <w:tcW w:w="963" w:type="dxa"/>
            <w:tcBorders>
              <w:tl2br w:val="nil"/>
              <w:tr2bl w:val="nil"/>
            </w:tcBorders>
            <w:shd w:val="clear" w:color="auto" w:fill="auto"/>
            <w:tcMar>
              <w:top w:w="15" w:type="dxa"/>
              <w:left w:w="15" w:type="dxa"/>
              <w:right w:w="15" w:type="dxa"/>
            </w:tcMar>
            <w:vAlign w:val="center"/>
          </w:tcPr>
          <w:p w14:paraId="3E3595D9">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t/km²·a</w:t>
            </w:r>
          </w:p>
        </w:tc>
        <w:tc>
          <w:tcPr>
            <w:tcW w:w="688" w:type="dxa"/>
            <w:tcBorders>
              <w:tl2br w:val="nil"/>
              <w:tr2bl w:val="nil"/>
            </w:tcBorders>
            <w:shd w:val="clear" w:color="auto" w:fill="auto"/>
            <w:tcMar>
              <w:top w:w="15" w:type="dxa"/>
              <w:left w:w="15" w:type="dxa"/>
              <w:right w:w="15" w:type="dxa"/>
            </w:tcMar>
            <w:vAlign w:val="center"/>
          </w:tcPr>
          <w:p w14:paraId="09FDDB70">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256.70 </w:t>
            </w:r>
          </w:p>
        </w:tc>
        <w:tc>
          <w:tcPr>
            <w:tcW w:w="885" w:type="dxa"/>
            <w:tcBorders>
              <w:tl2br w:val="nil"/>
              <w:tr2bl w:val="nil"/>
            </w:tcBorders>
            <w:shd w:val="clear" w:color="auto" w:fill="auto"/>
            <w:tcMar>
              <w:top w:w="15" w:type="dxa"/>
              <w:left w:w="15" w:type="dxa"/>
              <w:right w:w="15" w:type="dxa"/>
            </w:tcMar>
            <w:vAlign w:val="center"/>
          </w:tcPr>
          <w:p w14:paraId="05D1E235">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680706.79 </w:t>
            </w:r>
          </w:p>
        </w:tc>
        <w:tc>
          <w:tcPr>
            <w:tcW w:w="825" w:type="dxa"/>
            <w:tcBorders>
              <w:tl2br w:val="nil"/>
              <w:tr2bl w:val="nil"/>
            </w:tcBorders>
            <w:shd w:val="clear" w:color="auto" w:fill="auto"/>
            <w:tcMar>
              <w:top w:w="15" w:type="dxa"/>
              <w:left w:w="15" w:type="dxa"/>
              <w:right w:w="15" w:type="dxa"/>
            </w:tcMar>
            <w:vAlign w:val="center"/>
          </w:tcPr>
          <w:p w14:paraId="7D097FDD">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/km²·a</w:t>
            </w:r>
          </w:p>
        </w:tc>
        <w:tc>
          <w:tcPr>
            <w:tcW w:w="826" w:type="dxa"/>
            <w:tcBorders>
              <w:tl2br w:val="nil"/>
              <w:tr2bl w:val="nil"/>
            </w:tcBorders>
            <w:shd w:val="clear" w:color="auto" w:fill="auto"/>
            <w:tcMar>
              <w:top w:w="15" w:type="dxa"/>
              <w:left w:w="15" w:type="dxa"/>
              <w:right w:w="15" w:type="dxa"/>
            </w:tcMar>
            <w:vAlign w:val="center"/>
          </w:tcPr>
          <w:p w14:paraId="2349566C">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75000.00 </w:t>
            </w:r>
          </w:p>
        </w:tc>
        <w:tc>
          <w:tcPr>
            <w:tcW w:w="849" w:type="dxa"/>
            <w:tcBorders>
              <w:tl2br w:val="nil"/>
              <w:tr2bl w:val="nil"/>
            </w:tcBorders>
            <w:shd w:val="clear" w:color="auto" w:fill="auto"/>
            <w:tcMar>
              <w:top w:w="15" w:type="dxa"/>
              <w:left w:w="15" w:type="dxa"/>
              <w:right w:w="15" w:type="dxa"/>
            </w:tcMar>
            <w:vAlign w:val="center"/>
          </w:tcPr>
          <w:p w14:paraId="1CA0E19C">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198882000.00 </w:t>
            </w:r>
          </w:p>
        </w:tc>
      </w:tr>
      <w:tr w14:paraId="67FD5005">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85" w:hRule="atLeast"/>
        </w:trPr>
        <w:tc>
          <w:tcPr>
            <w:tcW w:w="823" w:type="dxa"/>
            <w:tcBorders>
              <w:tl2br w:val="nil"/>
              <w:tr2bl w:val="nil"/>
            </w:tcBorders>
            <w:shd w:val="clear" w:color="auto" w:fill="auto"/>
            <w:tcMar>
              <w:top w:w="15" w:type="dxa"/>
              <w:left w:w="15" w:type="dxa"/>
              <w:right w:w="15" w:type="dxa"/>
            </w:tcMar>
            <w:vAlign w:val="center"/>
          </w:tcPr>
          <w:p w14:paraId="561F4E66">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经果林</w:t>
            </w:r>
          </w:p>
        </w:tc>
        <w:tc>
          <w:tcPr>
            <w:tcW w:w="824" w:type="dxa"/>
            <w:tcBorders>
              <w:tl2br w:val="nil"/>
              <w:tr2bl w:val="nil"/>
            </w:tcBorders>
            <w:shd w:val="clear" w:color="auto" w:fill="auto"/>
            <w:tcMar>
              <w:top w:w="15" w:type="dxa"/>
              <w:left w:w="15" w:type="dxa"/>
              <w:right w:w="15" w:type="dxa"/>
            </w:tcMar>
            <w:vAlign w:val="bottom"/>
          </w:tcPr>
          <w:p w14:paraId="6C25E921">
            <w:pPr>
              <w:keepNext w:val="0"/>
              <w:keepLines w:val="0"/>
              <w:widowControl/>
              <w:suppressLineNumbers w:val="0"/>
              <w:jc w:val="center"/>
              <w:textAlignment w:val="bottom"/>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km²</w:t>
            </w:r>
          </w:p>
        </w:tc>
        <w:tc>
          <w:tcPr>
            <w:tcW w:w="825" w:type="dxa"/>
            <w:tcBorders>
              <w:tl2br w:val="nil"/>
              <w:tr2bl w:val="nil"/>
            </w:tcBorders>
            <w:shd w:val="clear" w:color="auto" w:fill="auto"/>
            <w:tcMar>
              <w:top w:w="15" w:type="dxa"/>
              <w:left w:w="15" w:type="dxa"/>
              <w:right w:w="15" w:type="dxa"/>
            </w:tcMar>
            <w:vAlign w:val="bottom"/>
          </w:tcPr>
          <w:p w14:paraId="21B46DDD">
            <w:pPr>
              <w:keepNext w:val="0"/>
              <w:keepLines w:val="0"/>
              <w:widowControl/>
              <w:suppressLineNumbers w:val="0"/>
              <w:jc w:val="center"/>
              <w:textAlignment w:val="bottom"/>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3478.90 </w:t>
            </w:r>
          </w:p>
        </w:tc>
        <w:tc>
          <w:tcPr>
            <w:tcW w:w="825" w:type="dxa"/>
            <w:tcBorders>
              <w:tl2br w:val="nil"/>
              <w:tr2bl w:val="nil"/>
            </w:tcBorders>
            <w:shd w:val="clear" w:color="auto" w:fill="auto"/>
            <w:tcMar>
              <w:top w:w="15" w:type="dxa"/>
              <w:left w:w="15" w:type="dxa"/>
              <w:right w:w="15" w:type="dxa"/>
            </w:tcMar>
            <w:vAlign w:val="bottom"/>
          </w:tcPr>
          <w:p w14:paraId="033091C0">
            <w:pPr>
              <w:keepNext w:val="0"/>
              <w:keepLines w:val="0"/>
              <w:widowControl/>
              <w:suppressLineNumbers w:val="0"/>
              <w:jc w:val="center"/>
              <w:textAlignment w:val="bottom"/>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0.95 </w:t>
            </w:r>
          </w:p>
        </w:tc>
        <w:tc>
          <w:tcPr>
            <w:tcW w:w="963" w:type="dxa"/>
            <w:tcBorders>
              <w:tl2br w:val="nil"/>
              <w:tr2bl w:val="nil"/>
            </w:tcBorders>
            <w:shd w:val="clear" w:color="auto" w:fill="auto"/>
            <w:tcMar>
              <w:top w:w="15" w:type="dxa"/>
              <w:left w:w="15" w:type="dxa"/>
              <w:right w:w="15" w:type="dxa"/>
            </w:tcMar>
            <w:vAlign w:val="center"/>
          </w:tcPr>
          <w:p w14:paraId="356BB39E">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t/km²·a</w:t>
            </w:r>
          </w:p>
        </w:tc>
        <w:tc>
          <w:tcPr>
            <w:tcW w:w="688" w:type="dxa"/>
            <w:tcBorders>
              <w:tl2br w:val="nil"/>
              <w:tr2bl w:val="nil"/>
            </w:tcBorders>
            <w:shd w:val="clear" w:color="auto" w:fill="auto"/>
            <w:tcMar>
              <w:top w:w="15" w:type="dxa"/>
              <w:left w:w="15" w:type="dxa"/>
              <w:right w:w="15" w:type="dxa"/>
            </w:tcMar>
            <w:vAlign w:val="bottom"/>
          </w:tcPr>
          <w:p w14:paraId="0EA985B7">
            <w:pPr>
              <w:keepNext w:val="0"/>
              <w:keepLines w:val="0"/>
              <w:widowControl/>
              <w:suppressLineNumbers w:val="0"/>
              <w:jc w:val="center"/>
              <w:textAlignment w:val="bottom"/>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125.70 </w:t>
            </w:r>
          </w:p>
        </w:tc>
        <w:tc>
          <w:tcPr>
            <w:tcW w:w="885" w:type="dxa"/>
            <w:tcBorders>
              <w:tl2br w:val="nil"/>
              <w:tr2bl w:val="nil"/>
            </w:tcBorders>
            <w:shd w:val="clear" w:color="auto" w:fill="auto"/>
            <w:tcMar>
              <w:top w:w="15" w:type="dxa"/>
              <w:left w:w="15" w:type="dxa"/>
              <w:right w:w="15" w:type="dxa"/>
            </w:tcMar>
            <w:vAlign w:val="center"/>
          </w:tcPr>
          <w:p w14:paraId="4F85403F">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415432.84 </w:t>
            </w:r>
          </w:p>
        </w:tc>
        <w:tc>
          <w:tcPr>
            <w:tcW w:w="825" w:type="dxa"/>
            <w:tcBorders>
              <w:tl2br w:val="nil"/>
              <w:tr2bl w:val="nil"/>
            </w:tcBorders>
            <w:shd w:val="clear" w:color="auto" w:fill="auto"/>
            <w:tcMar>
              <w:top w:w="15" w:type="dxa"/>
              <w:left w:w="15" w:type="dxa"/>
              <w:right w:w="15" w:type="dxa"/>
            </w:tcMar>
            <w:vAlign w:val="center"/>
          </w:tcPr>
          <w:p w14:paraId="210AC907">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/km²·a</w:t>
            </w:r>
          </w:p>
        </w:tc>
        <w:tc>
          <w:tcPr>
            <w:tcW w:w="826" w:type="dxa"/>
            <w:tcBorders>
              <w:tl2br w:val="nil"/>
              <w:tr2bl w:val="nil"/>
            </w:tcBorders>
            <w:shd w:val="clear" w:color="auto" w:fill="auto"/>
            <w:tcMar>
              <w:top w:w="15" w:type="dxa"/>
              <w:left w:w="15" w:type="dxa"/>
              <w:right w:w="15" w:type="dxa"/>
            </w:tcMar>
            <w:vAlign w:val="bottom"/>
          </w:tcPr>
          <w:p w14:paraId="3B9F563B">
            <w:pPr>
              <w:keepNext w:val="0"/>
              <w:keepLines w:val="0"/>
              <w:widowControl/>
              <w:suppressLineNumbers w:val="0"/>
              <w:jc w:val="center"/>
              <w:textAlignment w:val="bottom"/>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27000.00 </w:t>
            </w:r>
          </w:p>
        </w:tc>
        <w:tc>
          <w:tcPr>
            <w:tcW w:w="849" w:type="dxa"/>
            <w:tcBorders>
              <w:tl2br w:val="nil"/>
              <w:tr2bl w:val="nil"/>
            </w:tcBorders>
            <w:shd w:val="clear" w:color="auto" w:fill="auto"/>
            <w:tcMar>
              <w:top w:w="15" w:type="dxa"/>
              <w:left w:w="15" w:type="dxa"/>
              <w:right w:w="15" w:type="dxa"/>
            </w:tcMar>
            <w:vAlign w:val="center"/>
          </w:tcPr>
          <w:p w14:paraId="0DB36688">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89233785.00 </w:t>
            </w:r>
          </w:p>
        </w:tc>
      </w:tr>
      <w:tr w14:paraId="13712524">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85" w:hRule="atLeast"/>
        </w:trPr>
        <w:tc>
          <w:tcPr>
            <w:tcW w:w="823" w:type="dxa"/>
            <w:tcBorders>
              <w:tl2br w:val="nil"/>
              <w:tr2bl w:val="nil"/>
            </w:tcBorders>
            <w:shd w:val="clear" w:color="auto" w:fill="auto"/>
            <w:noWrap/>
            <w:tcMar>
              <w:top w:w="15" w:type="dxa"/>
              <w:left w:w="15" w:type="dxa"/>
              <w:right w:w="15" w:type="dxa"/>
            </w:tcMar>
            <w:vAlign w:val="center"/>
          </w:tcPr>
          <w:p w14:paraId="2D2B7092">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保土耕作</w:t>
            </w:r>
          </w:p>
        </w:tc>
        <w:tc>
          <w:tcPr>
            <w:tcW w:w="824" w:type="dxa"/>
            <w:tcBorders>
              <w:tl2br w:val="nil"/>
              <w:tr2bl w:val="nil"/>
            </w:tcBorders>
            <w:shd w:val="clear" w:color="auto" w:fill="auto"/>
            <w:tcMar>
              <w:top w:w="15" w:type="dxa"/>
              <w:left w:w="15" w:type="dxa"/>
              <w:right w:w="15" w:type="dxa"/>
            </w:tcMar>
            <w:vAlign w:val="center"/>
          </w:tcPr>
          <w:p w14:paraId="635F563E">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km²</w:t>
            </w:r>
          </w:p>
        </w:tc>
        <w:tc>
          <w:tcPr>
            <w:tcW w:w="825" w:type="dxa"/>
            <w:tcBorders>
              <w:tl2br w:val="nil"/>
              <w:tr2bl w:val="nil"/>
            </w:tcBorders>
            <w:shd w:val="clear" w:color="auto" w:fill="auto"/>
            <w:tcMar>
              <w:top w:w="15" w:type="dxa"/>
              <w:left w:w="15" w:type="dxa"/>
              <w:right w:w="15" w:type="dxa"/>
            </w:tcMar>
            <w:vAlign w:val="center"/>
          </w:tcPr>
          <w:p w14:paraId="29A0ACAA">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2418.05 </w:t>
            </w:r>
          </w:p>
        </w:tc>
        <w:tc>
          <w:tcPr>
            <w:tcW w:w="825" w:type="dxa"/>
            <w:tcBorders>
              <w:tl2br w:val="nil"/>
              <w:tr2bl w:val="nil"/>
            </w:tcBorders>
            <w:shd w:val="clear" w:color="auto" w:fill="auto"/>
            <w:tcMar>
              <w:top w:w="15" w:type="dxa"/>
              <w:left w:w="15" w:type="dxa"/>
              <w:right w:w="15" w:type="dxa"/>
            </w:tcMar>
            <w:vAlign w:val="center"/>
          </w:tcPr>
          <w:p w14:paraId="25FE736F">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1.00 </w:t>
            </w:r>
          </w:p>
        </w:tc>
        <w:tc>
          <w:tcPr>
            <w:tcW w:w="963" w:type="dxa"/>
            <w:tcBorders>
              <w:tl2br w:val="nil"/>
              <w:tr2bl w:val="nil"/>
            </w:tcBorders>
            <w:shd w:val="clear" w:color="auto" w:fill="auto"/>
            <w:tcMar>
              <w:top w:w="15" w:type="dxa"/>
              <w:left w:w="15" w:type="dxa"/>
              <w:right w:w="15" w:type="dxa"/>
            </w:tcMar>
            <w:vAlign w:val="center"/>
          </w:tcPr>
          <w:p w14:paraId="5B646151">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t/km²·a</w:t>
            </w:r>
          </w:p>
        </w:tc>
        <w:tc>
          <w:tcPr>
            <w:tcW w:w="688" w:type="dxa"/>
            <w:tcBorders>
              <w:tl2br w:val="nil"/>
              <w:tr2bl w:val="nil"/>
            </w:tcBorders>
            <w:shd w:val="clear" w:color="auto" w:fill="auto"/>
            <w:tcMar>
              <w:top w:w="15" w:type="dxa"/>
              <w:left w:w="15" w:type="dxa"/>
              <w:right w:w="15" w:type="dxa"/>
            </w:tcMar>
            <w:vAlign w:val="center"/>
          </w:tcPr>
          <w:p w14:paraId="2C9CD96D">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55.60 </w:t>
            </w:r>
          </w:p>
        </w:tc>
        <w:tc>
          <w:tcPr>
            <w:tcW w:w="885" w:type="dxa"/>
            <w:tcBorders>
              <w:tl2br w:val="nil"/>
              <w:tr2bl w:val="nil"/>
            </w:tcBorders>
            <w:shd w:val="clear" w:color="auto" w:fill="auto"/>
            <w:tcMar>
              <w:top w:w="15" w:type="dxa"/>
              <w:left w:w="15" w:type="dxa"/>
              <w:right w:w="15" w:type="dxa"/>
            </w:tcMar>
            <w:vAlign w:val="center"/>
          </w:tcPr>
          <w:p w14:paraId="59BC5EEB">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134443.58 </w:t>
            </w:r>
          </w:p>
        </w:tc>
        <w:tc>
          <w:tcPr>
            <w:tcW w:w="825" w:type="dxa"/>
            <w:tcBorders>
              <w:tl2br w:val="nil"/>
              <w:tr2bl w:val="nil"/>
            </w:tcBorders>
            <w:shd w:val="clear" w:color="auto" w:fill="auto"/>
            <w:tcMar>
              <w:top w:w="15" w:type="dxa"/>
              <w:left w:w="15" w:type="dxa"/>
              <w:right w:w="15" w:type="dxa"/>
            </w:tcMar>
            <w:vAlign w:val="center"/>
          </w:tcPr>
          <w:p w14:paraId="24834A8E">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/km²·a</w:t>
            </w:r>
          </w:p>
        </w:tc>
        <w:tc>
          <w:tcPr>
            <w:tcW w:w="826" w:type="dxa"/>
            <w:tcBorders>
              <w:tl2br w:val="nil"/>
              <w:tr2bl w:val="nil"/>
            </w:tcBorders>
            <w:shd w:val="clear" w:color="auto" w:fill="auto"/>
            <w:noWrap/>
            <w:tcMar>
              <w:top w:w="15" w:type="dxa"/>
              <w:left w:w="15" w:type="dxa"/>
              <w:right w:w="15" w:type="dxa"/>
            </w:tcMar>
            <w:vAlign w:val="center"/>
          </w:tcPr>
          <w:p w14:paraId="5E308339">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20000.00 </w:t>
            </w:r>
          </w:p>
        </w:tc>
        <w:tc>
          <w:tcPr>
            <w:tcW w:w="849" w:type="dxa"/>
            <w:tcBorders>
              <w:tl2br w:val="nil"/>
              <w:tr2bl w:val="nil"/>
            </w:tcBorders>
            <w:shd w:val="clear" w:color="auto" w:fill="auto"/>
            <w:tcMar>
              <w:top w:w="15" w:type="dxa"/>
              <w:left w:w="15" w:type="dxa"/>
              <w:right w:w="15" w:type="dxa"/>
            </w:tcMar>
            <w:vAlign w:val="center"/>
          </w:tcPr>
          <w:p w14:paraId="676DEC13">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48361000.00 </w:t>
            </w:r>
          </w:p>
        </w:tc>
      </w:tr>
      <w:tr w14:paraId="4FB0196E">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85" w:hRule="atLeast"/>
        </w:trPr>
        <w:tc>
          <w:tcPr>
            <w:tcW w:w="823" w:type="dxa"/>
            <w:tcBorders>
              <w:tl2br w:val="nil"/>
              <w:tr2bl w:val="nil"/>
            </w:tcBorders>
            <w:shd w:val="clear" w:color="auto" w:fill="auto"/>
            <w:noWrap/>
            <w:tcMar>
              <w:top w:w="15" w:type="dxa"/>
              <w:left w:w="15" w:type="dxa"/>
              <w:right w:w="15" w:type="dxa"/>
            </w:tcMar>
            <w:vAlign w:val="center"/>
          </w:tcPr>
          <w:p w14:paraId="0DDC93D9">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封禁治理</w:t>
            </w:r>
          </w:p>
        </w:tc>
        <w:tc>
          <w:tcPr>
            <w:tcW w:w="824" w:type="dxa"/>
            <w:tcBorders>
              <w:tl2br w:val="nil"/>
              <w:tr2bl w:val="nil"/>
            </w:tcBorders>
            <w:shd w:val="clear" w:color="auto" w:fill="auto"/>
            <w:tcMar>
              <w:top w:w="15" w:type="dxa"/>
              <w:left w:w="15" w:type="dxa"/>
              <w:right w:w="15" w:type="dxa"/>
            </w:tcMar>
            <w:vAlign w:val="center"/>
          </w:tcPr>
          <w:p w14:paraId="0026432F">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km²</w:t>
            </w:r>
          </w:p>
        </w:tc>
        <w:tc>
          <w:tcPr>
            <w:tcW w:w="825" w:type="dxa"/>
            <w:tcBorders>
              <w:tl2br w:val="nil"/>
              <w:tr2bl w:val="nil"/>
            </w:tcBorders>
            <w:shd w:val="clear" w:color="auto" w:fill="auto"/>
            <w:tcMar>
              <w:top w:w="15" w:type="dxa"/>
              <w:left w:w="15" w:type="dxa"/>
              <w:right w:w="15" w:type="dxa"/>
            </w:tcMar>
            <w:vAlign w:val="center"/>
          </w:tcPr>
          <w:p w14:paraId="0FD278F5">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5757.85 </w:t>
            </w:r>
          </w:p>
        </w:tc>
        <w:tc>
          <w:tcPr>
            <w:tcW w:w="825" w:type="dxa"/>
            <w:tcBorders>
              <w:tl2br w:val="nil"/>
              <w:tr2bl w:val="nil"/>
            </w:tcBorders>
            <w:shd w:val="clear" w:color="auto" w:fill="auto"/>
            <w:tcMar>
              <w:top w:w="15" w:type="dxa"/>
              <w:left w:w="15" w:type="dxa"/>
              <w:right w:w="15" w:type="dxa"/>
            </w:tcMar>
            <w:vAlign w:val="center"/>
          </w:tcPr>
          <w:p w14:paraId="2EFF1927">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0.90 </w:t>
            </w:r>
          </w:p>
        </w:tc>
        <w:tc>
          <w:tcPr>
            <w:tcW w:w="963" w:type="dxa"/>
            <w:tcBorders>
              <w:tl2br w:val="nil"/>
              <w:tr2bl w:val="nil"/>
            </w:tcBorders>
            <w:shd w:val="clear" w:color="auto" w:fill="auto"/>
            <w:tcMar>
              <w:top w:w="15" w:type="dxa"/>
              <w:left w:w="15" w:type="dxa"/>
              <w:right w:w="15" w:type="dxa"/>
            </w:tcMar>
            <w:vAlign w:val="center"/>
          </w:tcPr>
          <w:p w14:paraId="7953D6C6">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t/km²·a</w:t>
            </w:r>
          </w:p>
        </w:tc>
        <w:tc>
          <w:tcPr>
            <w:tcW w:w="688" w:type="dxa"/>
            <w:tcBorders>
              <w:tl2br w:val="nil"/>
              <w:tr2bl w:val="nil"/>
            </w:tcBorders>
            <w:shd w:val="clear" w:color="auto" w:fill="auto"/>
            <w:tcMar>
              <w:top w:w="15" w:type="dxa"/>
              <w:left w:w="15" w:type="dxa"/>
              <w:right w:w="15" w:type="dxa"/>
            </w:tcMar>
            <w:vAlign w:val="center"/>
          </w:tcPr>
          <w:p w14:paraId="28989046">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300.70 </w:t>
            </w:r>
          </w:p>
        </w:tc>
        <w:tc>
          <w:tcPr>
            <w:tcW w:w="885" w:type="dxa"/>
            <w:tcBorders>
              <w:tl2br w:val="nil"/>
              <w:tr2bl w:val="nil"/>
            </w:tcBorders>
            <w:shd w:val="clear" w:color="auto" w:fill="auto"/>
            <w:tcMar>
              <w:top w:w="15" w:type="dxa"/>
              <w:left w:w="15" w:type="dxa"/>
              <w:right w:w="15" w:type="dxa"/>
            </w:tcMar>
            <w:vAlign w:val="center"/>
          </w:tcPr>
          <w:p w14:paraId="2B5EB16F">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1558246.95 </w:t>
            </w:r>
          </w:p>
        </w:tc>
        <w:tc>
          <w:tcPr>
            <w:tcW w:w="825" w:type="dxa"/>
            <w:tcBorders>
              <w:tl2br w:val="nil"/>
              <w:tr2bl w:val="nil"/>
            </w:tcBorders>
            <w:shd w:val="clear" w:color="auto" w:fill="auto"/>
            <w:tcMar>
              <w:top w:w="15" w:type="dxa"/>
              <w:left w:w="15" w:type="dxa"/>
              <w:right w:w="15" w:type="dxa"/>
            </w:tcMar>
            <w:vAlign w:val="center"/>
          </w:tcPr>
          <w:p w14:paraId="55CBD5C9">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/km²·a</w:t>
            </w:r>
          </w:p>
        </w:tc>
        <w:tc>
          <w:tcPr>
            <w:tcW w:w="826" w:type="dxa"/>
            <w:tcBorders>
              <w:tl2br w:val="nil"/>
              <w:tr2bl w:val="nil"/>
            </w:tcBorders>
            <w:shd w:val="clear" w:color="auto" w:fill="auto"/>
            <w:noWrap/>
            <w:tcMar>
              <w:top w:w="15" w:type="dxa"/>
              <w:left w:w="15" w:type="dxa"/>
              <w:right w:w="15" w:type="dxa"/>
            </w:tcMar>
            <w:vAlign w:val="center"/>
          </w:tcPr>
          <w:p w14:paraId="3ADB6F34">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27500.00 </w:t>
            </w:r>
          </w:p>
        </w:tc>
        <w:tc>
          <w:tcPr>
            <w:tcW w:w="849" w:type="dxa"/>
            <w:tcBorders>
              <w:tl2br w:val="nil"/>
              <w:tr2bl w:val="nil"/>
            </w:tcBorders>
            <w:shd w:val="clear" w:color="auto" w:fill="auto"/>
            <w:tcMar>
              <w:top w:w="15" w:type="dxa"/>
              <w:left w:w="15" w:type="dxa"/>
              <w:right w:w="15" w:type="dxa"/>
            </w:tcMar>
            <w:vAlign w:val="center"/>
          </w:tcPr>
          <w:p w14:paraId="461154C1">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142506787.50 </w:t>
            </w:r>
          </w:p>
        </w:tc>
      </w:tr>
      <w:tr w14:paraId="7802EE9D">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85" w:hRule="atLeast"/>
        </w:trPr>
        <w:tc>
          <w:tcPr>
            <w:tcW w:w="823" w:type="dxa"/>
            <w:tcBorders>
              <w:tl2br w:val="nil"/>
              <w:tr2bl w:val="nil"/>
            </w:tcBorders>
            <w:shd w:val="clear" w:color="auto" w:fill="auto"/>
            <w:noWrap/>
            <w:tcMar>
              <w:top w:w="15" w:type="dxa"/>
              <w:left w:w="15" w:type="dxa"/>
              <w:right w:w="15" w:type="dxa"/>
            </w:tcMar>
            <w:vAlign w:val="center"/>
          </w:tcPr>
          <w:p w14:paraId="0A19EF9C">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种草</w:t>
            </w:r>
          </w:p>
        </w:tc>
        <w:tc>
          <w:tcPr>
            <w:tcW w:w="824" w:type="dxa"/>
            <w:tcBorders>
              <w:tl2br w:val="nil"/>
              <w:tr2bl w:val="nil"/>
            </w:tcBorders>
            <w:shd w:val="clear" w:color="auto" w:fill="auto"/>
            <w:tcMar>
              <w:top w:w="15" w:type="dxa"/>
              <w:left w:w="15" w:type="dxa"/>
              <w:right w:w="15" w:type="dxa"/>
            </w:tcMar>
            <w:vAlign w:val="center"/>
          </w:tcPr>
          <w:p w14:paraId="7017DA27">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km²</w:t>
            </w:r>
          </w:p>
        </w:tc>
        <w:tc>
          <w:tcPr>
            <w:tcW w:w="825" w:type="dxa"/>
            <w:tcBorders>
              <w:tl2br w:val="nil"/>
              <w:tr2bl w:val="nil"/>
            </w:tcBorders>
            <w:shd w:val="clear" w:color="auto" w:fill="auto"/>
            <w:tcMar>
              <w:top w:w="15" w:type="dxa"/>
              <w:left w:w="15" w:type="dxa"/>
              <w:right w:w="15" w:type="dxa"/>
            </w:tcMar>
            <w:vAlign w:val="center"/>
          </w:tcPr>
          <w:p w14:paraId="5F6C8B7C">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178.80 </w:t>
            </w:r>
          </w:p>
        </w:tc>
        <w:tc>
          <w:tcPr>
            <w:tcW w:w="825" w:type="dxa"/>
            <w:tcBorders>
              <w:tl2br w:val="nil"/>
              <w:tr2bl w:val="nil"/>
            </w:tcBorders>
            <w:shd w:val="clear" w:color="auto" w:fill="auto"/>
            <w:tcMar>
              <w:top w:w="15" w:type="dxa"/>
              <w:left w:w="15" w:type="dxa"/>
              <w:right w:w="15" w:type="dxa"/>
            </w:tcMar>
            <w:vAlign w:val="center"/>
          </w:tcPr>
          <w:p w14:paraId="53C3BCF1">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0.90 </w:t>
            </w:r>
          </w:p>
        </w:tc>
        <w:tc>
          <w:tcPr>
            <w:tcW w:w="963" w:type="dxa"/>
            <w:tcBorders>
              <w:tl2br w:val="nil"/>
              <w:tr2bl w:val="nil"/>
            </w:tcBorders>
            <w:shd w:val="clear" w:color="auto" w:fill="auto"/>
            <w:tcMar>
              <w:top w:w="15" w:type="dxa"/>
              <w:left w:w="15" w:type="dxa"/>
              <w:right w:w="15" w:type="dxa"/>
            </w:tcMar>
            <w:vAlign w:val="center"/>
          </w:tcPr>
          <w:p w14:paraId="0BCB9013">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t/km²·a</w:t>
            </w:r>
          </w:p>
        </w:tc>
        <w:tc>
          <w:tcPr>
            <w:tcW w:w="688" w:type="dxa"/>
            <w:tcBorders>
              <w:tl2br w:val="nil"/>
              <w:tr2bl w:val="nil"/>
            </w:tcBorders>
            <w:shd w:val="clear" w:color="auto" w:fill="auto"/>
            <w:tcMar>
              <w:top w:w="15" w:type="dxa"/>
              <w:left w:w="15" w:type="dxa"/>
              <w:right w:w="15" w:type="dxa"/>
            </w:tcMar>
            <w:vAlign w:val="center"/>
          </w:tcPr>
          <w:p w14:paraId="2DDFA2FE">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178.60 </w:t>
            </w:r>
          </w:p>
        </w:tc>
        <w:tc>
          <w:tcPr>
            <w:tcW w:w="885" w:type="dxa"/>
            <w:tcBorders>
              <w:tl2br w:val="nil"/>
              <w:tr2bl w:val="nil"/>
            </w:tcBorders>
            <w:shd w:val="clear" w:color="auto" w:fill="auto"/>
            <w:tcMar>
              <w:top w:w="15" w:type="dxa"/>
              <w:left w:w="15" w:type="dxa"/>
              <w:right w:w="15" w:type="dxa"/>
            </w:tcMar>
            <w:vAlign w:val="center"/>
          </w:tcPr>
          <w:p w14:paraId="17D2D0F2">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28740.31 </w:t>
            </w:r>
          </w:p>
        </w:tc>
        <w:tc>
          <w:tcPr>
            <w:tcW w:w="825" w:type="dxa"/>
            <w:tcBorders>
              <w:tl2br w:val="nil"/>
              <w:tr2bl w:val="nil"/>
            </w:tcBorders>
            <w:shd w:val="clear" w:color="auto" w:fill="auto"/>
            <w:tcMar>
              <w:top w:w="15" w:type="dxa"/>
              <w:left w:w="15" w:type="dxa"/>
              <w:right w:w="15" w:type="dxa"/>
            </w:tcMar>
            <w:vAlign w:val="center"/>
          </w:tcPr>
          <w:p w14:paraId="70FCAEC1">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m</w:t>
            </w:r>
            <w:r>
              <w:rPr>
                <w:rFonts w:hint="default" w:ascii="Times New Roman" w:hAnsi="Times New Roman" w:cs="Times New Roman" w:eastAsiaTheme="majorEastAsia"/>
                <w:i w:val="0"/>
                <w:iCs w:val="0"/>
                <w:color w:val="auto"/>
                <w:kern w:val="0"/>
                <w:sz w:val="18"/>
                <w:szCs w:val="18"/>
                <w:u w:val="none"/>
                <w:vertAlign w:val="superscript"/>
                <w:lang w:val="en-US" w:eastAsia="zh-CN" w:bidi="ar"/>
              </w:rPr>
              <w:t>3</w:t>
            </w:r>
            <w:r>
              <w:rPr>
                <w:rFonts w:hint="default" w:ascii="Times New Roman" w:hAnsi="Times New Roman" w:cs="Times New Roman" w:eastAsiaTheme="majorEastAsia"/>
                <w:i w:val="0"/>
                <w:iCs w:val="0"/>
                <w:color w:val="auto"/>
                <w:kern w:val="0"/>
                <w:sz w:val="18"/>
                <w:szCs w:val="18"/>
                <w:u w:val="none"/>
                <w:lang w:val="en-US" w:eastAsia="zh-CN" w:bidi="ar"/>
              </w:rPr>
              <w:t>/km²·a</w:t>
            </w:r>
          </w:p>
        </w:tc>
        <w:tc>
          <w:tcPr>
            <w:tcW w:w="826" w:type="dxa"/>
            <w:tcBorders>
              <w:tl2br w:val="nil"/>
              <w:tr2bl w:val="nil"/>
            </w:tcBorders>
            <w:shd w:val="clear" w:color="auto" w:fill="auto"/>
            <w:noWrap/>
            <w:tcMar>
              <w:top w:w="15" w:type="dxa"/>
              <w:left w:w="15" w:type="dxa"/>
              <w:right w:w="15" w:type="dxa"/>
            </w:tcMar>
            <w:vAlign w:val="center"/>
          </w:tcPr>
          <w:p w14:paraId="2BA4F0BC">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65000.00 </w:t>
            </w:r>
          </w:p>
        </w:tc>
        <w:tc>
          <w:tcPr>
            <w:tcW w:w="849" w:type="dxa"/>
            <w:tcBorders>
              <w:tl2br w:val="nil"/>
              <w:tr2bl w:val="nil"/>
            </w:tcBorders>
            <w:shd w:val="clear" w:color="auto" w:fill="auto"/>
            <w:tcMar>
              <w:top w:w="15" w:type="dxa"/>
              <w:left w:w="15" w:type="dxa"/>
              <w:right w:w="15" w:type="dxa"/>
            </w:tcMar>
            <w:vAlign w:val="center"/>
          </w:tcPr>
          <w:p w14:paraId="3A01B158">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 xml:space="preserve">10459800.00 </w:t>
            </w:r>
          </w:p>
        </w:tc>
      </w:tr>
      <w:tr w14:paraId="5BA03853">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shd w:val="clear" w:color="auto" w:fill="auto"/>
          <w:tblCellMar>
            <w:top w:w="0" w:type="dxa"/>
            <w:left w:w="0" w:type="dxa"/>
            <w:bottom w:w="0" w:type="dxa"/>
            <w:right w:w="0" w:type="dxa"/>
          </w:tblCellMar>
        </w:tblPrEx>
        <w:trPr>
          <w:trHeight w:val="285" w:hRule="atLeast"/>
        </w:trPr>
        <w:tc>
          <w:tcPr>
            <w:tcW w:w="823" w:type="dxa"/>
            <w:tcBorders>
              <w:tl2br w:val="nil"/>
              <w:tr2bl w:val="nil"/>
            </w:tcBorders>
            <w:shd w:val="clear" w:color="auto" w:fill="auto"/>
            <w:tcMar>
              <w:top w:w="15" w:type="dxa"/>
              <w:left w:w="15" w:type="dxa"/>
              <w:right w:w="15" w:type="dxa"/>
            </w:tcMar>
            <w:vAlign w:val="center"/>
          </w:tcPr>
          <w:p w14:paraId="762E2E36">
            <w:pPr>
              <w:keepNext w:val="0"/>
              <w:keepLines w:val="0"/>
              <w:widowControl/>
              <w:suppressLineNumbers w:val="0"/>
              <w:jc w:val="center"/>
              <w:textAlignment w:val="center"/>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i w:val="0"/>
                <w:iCs w:val="0"/>
                <w:color w:val="auto"/>
                <w:kern w:val="0"/>
                <w:sz w:val="18"/>
                <w:szCs w:val="18"/>
                <w:u w:val="none"/>
                <w:lang w:val="en-US" w:eastAsia="zh-CN" w:bidi="ar"/>
              </w:rPr>
              <w:t>合计</w:t>
            </w:r>
          </w:p>
        </w:tc>
        <w:tc>
          <w:tcPr>
            <w:tcW w:w="824" w:type="dxa"/>
            <w:tcBorders>
              <w:tl2br w:val="nil"/>
              <w:tr2bl w:val="nil"/>
            </w:tcBorders>
            <w:shd w:val="clear" w:color="auto" w:fill="auto"/>
            <w:tcMar>
              <w:top w:w="15" w:type="dxa"/>
              <w:left w:w="15" w:type="dxa"/>
              <w:right w:w="15" w:type="dxa"/>
            </w:tcMar>
            <w:vAlign w:val="bottom"/>
          </w:tcPr>
          <w:p w14:paraId="7F17904A">
            <w:pPr>
              <w:jc w:val="center"/>
              <w:rPr>
                <w:rFonts w:hint="default" w:ascii="Times New Roman" w:hAnsi="Times New Roman" w:cs="Times New Roman" w:eastAsiaTheme="majorEastAsia"/>
                <w:i w:val="0"/>
                <w:color w:val="auto"/>
                <w:sz w:val="18"/>
                <w:szCs w:val="18"/>
                <w:u w:val="none"/>
              </w:rPr>
            </w:pPr>
          </w:p>
        </w:tc>
        <w:tc>
          <w:tcPr>
            <w:tcW w:w="825" w:type="dxa"/>
            <w:tcBorders>
              <w:tl2br w:val="nil"/>
              <w:tr2bl w:val="nil"/>
            </w:tcBorders>
            <w:shd w:val="clear" w:color="auto" w:fill="auto"/>
            <w:tcMar>
              <w:top w:w="15" w:type="dxa"/>
              <w:left w:w="15" w:type="dxa"/>
              <w:right w:w="15" w:type="dxa"/>
            </w:tcMar>
            <w:vAlign w:val="bottom"/>
          </w:tcPr>
          <w:p w14:paraId="544850DB">
            <w:pPr>
              <w:keepNext w:val="0"/>
              <w:keepLines w:val="0"/>
              <w:widowControl/>
              <w:suppressLineNumbers w:val="0"/>
              <w:jc w:val="center"/>
              <w:textAlignment w:val="bottom"/>
              <w:rPr>
                <w:rFonts w:hint="default" w:ascii="Times New Roman" w:hAnsi="Times New Roman" w:cs="Times New Roman" w:eastAsiaTheme="majorEastAsia"/>
                <w:i w:val="0"/>
                <w:color w:val="auto"/>
                <w:sz w:val="18"/>
                <w:szCs w:val="18"/>
                <w:u w:val="none"/>
              </w:rPr>
            </w:pPr>
            <w:r>
              <w:rPr>
                <w:rFonts w:hint="default" w:ascii="Times New Roman" w:hAnsi="Times New Roman" w:cs="Times New Roman" w:eastAsiaTheme="majorEastAsia"/>
                <w:b/>
                <w:bCs/>
                <w:i w:val="0"/>
                <w:iCs w:val="0"/>
                <w:color w:val="auto"/>
                <w:kern w:val="0"/>
                <w:sz w:val="18"/>
                <w:szCs w:val="18"/>
                <w:u w:val="none"/>
                <w:lang w:val="en-US" w:eastAsia="zh-CN" w:bidi="ar"/>
              </w:rPr>
              <w:t xml:space="preserve">14900.00 </w:t>
            </w:r>
          </w:p>
        </w:tc>
        <w:tc>
          <w:tcPr>
            <w:tcW w:w="825" w:type="dxa"/>
            <w:tcBorders>
              <w:tl2br w:val="nil"/>
              <w:tr2bl w:val="nil"/>
            </w:tcBorders>
            <w:shd w:val="clear" w:color="auto" w:fill="auto"/>
            <w:tcMar>
              <w:top w:w="15" w:type="dxa"/>
              <w:left w:w="15" w:type="dxa"/>
              <w:right w:w="15" w:type="dxa"/>
            </w:tcMar>
            <w:vAlign w:val="bottom"/>
          </w:tcPr>
          <w:p w14:paraId="75F7E2C8">
            <w:pPr>
              <w:jc w:val="center"/>
              <w:rPr>
                <w:rFonts w:hint="default" w:ascii="Times New Roman" w:hAnsi="Times New Roman" w:cs="Times New Roman" w:eastAsiaTheme="majorEastAsia"/>
                <w:i w:val="0"/>
                <w:color w:val="auto"/>
                <w:sz w:val="18"/>
                <w:szCs w:val="18"/>
                <w:u w:val="none"/>
              </w:rPr>
            </w:pPr>
          </w:p>
        </w:tc>
        <w:tc>
          <w:tcPr>
            <w:tcW w:w="963" w:type="dxa"/>
            <w:tcBorders>
              <w:tl2br w:val="nil"/>
              <w:tr2bl w:val="nil"/>
            </w:tcBorders>
            <w:shd w:val="clear" w:color="auto" w:fill="auto"/>
            <w:tcMar>
              <w:top w:w="15" w:type="dxa"/>
              <w:left w:w="15" w:type="dxa"/>
              <w:right w:w="15" w:type="dxa"/>
            </w:tcMar>
            <w:vAlign w:val="bottom"/>
          </w:tcPr>
          <w:p w14:paraId="5AE42FDA">
            <w:pPr>
              <w:jc w:val="center"/>
              <w:rPr>
                <w:rFonts w:hint="default" w:ascii="Times New Roman" w:hAnsi="Times New Roman" w:cs="Times New Roman" w:eastAsiaTheme="majorEastAsia"/>
                <w:i w:val="0"/>
                <w:color w:val="auto"/>
                <w:sz w:val="18"/>
                <w:szCs w:val="18"/>
                <w:u w:val="none"/>
              </w:rPr>
            </w:pPr>
          </w:p>
        </w:tc>
        <w:tc>
          <w:tcPr>
            <w:tcW w:w="688" w:type="dxa"/>
            <w:tcBorders>
              <w:tl2br w:val="nil"/>
              <w:tr2bl w:val="nil"/>
            </w:tcBorders>
            <w:shd w:val="clear" w:color="auto" w:fill="auto"/>
            <w:tcMar>
              <w:top w:w="15" w:type="dxa"/>
              <w:left w:w="15" w:type="dxa"/>
              <w:right w:w="15" w:type="dxa"/>
            </w:tcMar>
            <w:vAlign w:val="bottom"/>
          </w:tcPr>
          <w:p w14:paraId="49A90ABD">
            <w:pPr>
              <w:jc w:val="center"/>
              <w:rPr>
                <w:rFonts w:hint="default" w:ascii="Times New Roman" w:hAnsi="Times New Roman" w:cs="Times New Roman" w:eastAsiaTheme="majorEastAsia"/>
                <w:i w:val="0"/>
                <w:color w:val="auto"/>
                <w:sz w:val="18"/>
                <w:szCs w:val="18"/>
                <w:u w:val="none"/>
              </w:rPr>
            </w:pPr>
          </w:p>
        </w:tc>
        <w:tc>
          <w:tcPr>
            <w:tcW w:w="885" w:type="dxa"/>
            <w:tcBorders>
              <w:tl2br w:val="nil"/>
              <w:tr2bl w:val="nil"/>
            </w:tcBorders>
            <w:shd w:val="clear" w:color="auto" w:fill="auto"/>
            <w:tcMar>
              <w:top w:w="15" w:type="dxa"/>
              <w:left w:w="15" w:type="dxa"/>
              <w:right w:w="15" w:type="dxa"/>
            </w:tcMar>
            <w:vAlign w:val="center"/>
          </w:tcPr>
          <w:p w14:paraId="73054658">
            <w:pPr>
              <w:keepNext w:val="0"/>
              <w:keepLines w:val="0"/>
              <w:widowControl/>
              <w:suppressLineNumbers w:val="0"/>
              <w:jc w:val="center"/>
              <w:textAlignment w:val="center"/>
              <w:rPr>
                <w:rFonts w:hint="default" w:ascii="Times New Roman" w:hAnsi="Times New Roman" w:cs="Times New Roman" w:eastAsiaTheme="majorEastAsia"/>
                <w:b/>
                <w:i w:val="0"/>
                <w:color w:val="auto"/>
                <w:sz w:val="18"/>
                <w:szCs w:val="18"/>
                <w:u w:val="none"/>
              </w:rPr>
            </w:pPr>
            <w:r>
              <w:rPr>
                <w:rFonts w:hint="default" w:ascii="Times New Roman" w:hAnsi="Times New Roman" w:cs="Times New Roman" w:eastAsiaTheme="majorEastAsia"/>
                <w:b/>
                <w:bCs/>
                <w:i w:val="0"/>
                <w:iCs w:val="0"/>
                <w:color w:val="auto"/>
                <w:kern w:val="0"/>
                <w:sz w:val="18"/>
                <w:szCs w:val="18"/>
                <w:u w:val="none"/>
                <w:lang w:val="en-US" w:eastAsia="zh-CN" w:bidi="ar"/>
              </w:rPr>
              <w:t xml:space="preserve">2829622.55 </w:t>
            </w:r>
          </w:p>
        </w:tc>
        <w:tc>
          <w:tcPr>
            <w:tcW w:w="825" w:type="dxa"/>
            <w:tcBorders>
              <w:tl2br w:val="nil"/>
              <w:tr2bl w:val="nil"/>
            </w:tcBorders>
            <w:shd w:val="clear" w:color="auto" w:fill="auto"/>
            <w:tcMar>
              <w:top w:w="15" w:type="dxa"/>
              <w:left w:w="15" w:type="dxa"/>
              <w:right w:w="15" w:type="dxa"/>
            </w:tcMar>
            <w:vAlign w:val="bottom"/>
          </w:tcPr>
          <w:p w14:paraId="387D6F79">
            <w:pPr>
              <w:jc w:val="center"/>
              <w:rPr>
                <w:rFonts w:hint="default" w:ascii="Times New Roman" w:hAnsi="Times New Roman" w:cs="Times New Roman" w:eastAsiaTheme="majorEastAsia"/>
                <w:b/>
                <w:i w:val="0"/>
                <w:color w:val="auto"/>
                <w:sz w:val="18"/>
                <w:szCs w:val="18"/>
                <w:u w:val="none"/>
              </w:rPr>
            </w:pPr>
          </w:p>
        </w:tc>
        <w:tc>
          <w:tcPr>
            <w:tcW w:w="826" w:type="dxa"/>
            <w:tcBorders>
              <w:tl2br w:val="nil"/>
              <w:tr2bl w:val="nil"/>
            </w:tcBorders>
            <w:shd w:val="clear" w:color="auto" w:fill="auto"/>
            <w:tcMar>
              <w:top w:w="15" w:type="dxa"/>
              <w:left w:w="15" w:type="dxa"/>
              <w:right w:w="15" w:type="dxa"/>
            </w:tcMar>
            <w:vAlign w:val="bottom"/>
          </w:tcPr>
          <w:p w14:paraId="5776A642">
            <w:pPr>
              <w:jc w:val="center"/>
              <w:rPr>
                <w:rFonts w:hint="default" w:ascii="Times New Roman" w:hAnsi="Times New Roman" w:cs="Times New Roman" w:eastAsiaTheme="majorEastAsia"/>
                <w:b/>
                <w:i w:val="0"/>
                <w:color w:val="auto"/>
                <w:sz w:val="18"/>
                <w:szCs w:val="18"/>
                <w:u w:val="none"/>
              </w:rPr>
            </w:pPr>
          </w:p>
        </w:tc>
        <w:tc>
          <w:tcPr>
            <w:tcW w:w="849" w:type="dxa"/>
            <w:tcBorders>
              <w:tl2br w:val="nil"/>
              <w:tr2bl w:val="nil"/>
            </w:tcBorders>
            <w:shd w:val="clear" w:color="auto" w:fill="auto"/>
            <w:tcMar>
              <w:top w:w="15" w:type="dxa"/>
              <w:left w:w="15" w:type="dxa"/>
              <w:right w:w="15" w:type="dxa"/>
            </w:tcMar>
            <w:vAlign w:val="center"/>
          </w:tcPr>
          <w:p w14:paraId="3D03A3AD">
            <w:pPr>
              <w:keepNext w:val="0"/>
              <w:keepLines w:val="0"/>
              <w:widowControl/>
              <w:suppressLineNumbers w:val="0"/>
              <w:jc w:val="center"/>
              <w:textAlignment w:val="center"/>
              <w:rPr>
                <w:rFonts w:hint="default" w:ascii="Times New Roman" w:hAnsi="Times New Roman" w:cs="Times New Roman" w:eastAsiaTheme="majorEastAsia"/>
                <w:b/>
                <w:i w:val="0"/>
                <w:color w:val="auto"/>
                <w:sz w:val="18"/>
                <w:szCs w:val="18"/>
                <w:u w:val="none"/>
              </w:rPr>
            </w:pPr>
            <w:r>
              <w:rPr>
                <w:rFonts w:hint="default" w:ascii="Times New Roman" w:hAnsi="Times New Roman" w:cs="Times New Roman" w:eastAsiaTheme="majorEastAsia"/>
                <w:b/>
                <w:bCs/>
                <w:i w:val="0"/>
                <w:iCs w:val="0"/>
                <w:color w:val="auto"/>
                <w:kern w:val="0"/>
                <w:sz w:val="18"/>
                <w:szCs w:val="18"/>
                <w:u w:val="none"/>
                <w:lang w:val="en-US" w:eastAsia="zh-CN" w:bidi="ar"/>
              </w:rPr>
              <w:t xml:space="preserve">499703372.50 </w:t>
            </w:r>
          </w:p>
        </w:tc>
      </w:tr>
    </w:tbl>
    <w:p w14:paraId="41CB6BAA">
      <w:pPr>
        <w:pStyle w:val="12"/>
        <w:rPr>
          <w:rFonts w:hint="default" w:ascii="Times New Roman" w:hAnsi="Times New Roman" w:cs="Times New Roman" w:eastAsiaTheme="majorEastAsia"/>
          <w:color w:val="auto"/>
        </w:rPr>
      </w:pPr>
    </w:p>
    <w:p w14:paraId="5E36E6E3">
      <w:pPr>
        <w:ind w:firstLine="648" w:firstLineChars="250"/>
        <w:rPr>
          <w:rFonts w:hint="default" w:ascii="Times New Roman" w:hAnsi="Times New Roman" w:cs="Times New Roman" w:eastAsiaTheme="majorEastAsia"/>
          <w:b/>
          <w:color w:val="auto"/>
          <w:spacing w:val="-4"/>
          <w:w w:val="95"/>
          <w:sz w:val="28"/>
          <w:lang w:val="en-US" w:eastAsia="zh-CN"/>
        </w:rPr>
      </w:pPr>
      <w:r>
        <w:rPr>
          <w:rFonts w:hint="default" w:ascii="Times New Roman" w:hAnsi="Times New Roman" w:cs="Times New Roman" w:eastAsiaTheme="majorEastAsia"/>
          <w:b/>
          <w:color w:val="auto"/>
          <w:spacing w:val="-4"/>
          <w:w w:val="95"/>
          <w:sz w:val="28"/>
          <w:lang w:val="en-US" w:eastAsia="zh-CN"/>
        </w:rPr>
        <w:t>（3）</w:t>
      </w:r>
      <w:r>
        <w:rPr>
          <w:rFonts w:hint="eastAsia" w:ascii="Times New Roman" w:hAnsi="Times New Roman" w:cs="Times New Roman" w:eastAsiaTheme="majorEastAsia"/>
          <w:b/>
          <w:color w:val="auto"/>
          <w:spacing w:val="-4"/>
          <w:w w:val="95"/>
          <w:sz w:val="28"/>
          <w:lang w:val="en-US" w:eastAsia="zh-CN"/>
        </w:rPr>
        <w:t>碳达峰碳中和效益</w:t>
      </w:r>
    </w:p>
    <w:p w14:paraId="312D456C">
      <w:pPr>
        <w:ind w:firstLine="700" w:firstLineChars="250"/>
        <w:rPr>
          <w:rFonts w:hint="default" w:ascii="Times New Roman" w:hAnsi="Times New Roman" w:cs="Times New Roman" w:eastAsiaTheme="majorEastAsia"/>
          <w:color w:val="auto"/>
          <w:sz w:val="28"/>
          <w:szCs w:val="28"/>
          <w:lang w:val="en-US" w:eastAsia="zh-CN"/>
        </w:rPr>
      </w:pPr>
      <w:r>
        <w:rPr>
          <w:rFonts w:hint="default" w:ascii="Times New Roman" w:hAnsi="Times New Roman" w:cs="Times New Roman" w:eastAsiaTheme="majorEastAsia"/>
          <w:color w:val="auto"/>
          <w:kern w:val="0"/>
          <w:sz w:val="28"/>
          <w:szCs w:val="28"/>
          <w:lang w:val="en-US" w:eastAsia="zh-CN" w:bidi="ar"/>
        </w:rPr>
        <w:t>通过十四五水土保持规划实施，</w:t>
      </w:r>
      <w:r>
        <w:rPr>
          <w:rFonts w:hint="default" w:ascii="Times New Roman" w:hAnsi="Times New Roman" w:cs="Times New Roman" w:eastAsiaTheme="majorEastAsia"/>
          <w:color w:val="auto"/>
          <w:sz w:val="28"/>
          <w:szCs w:val="28"/>
        </w:rPr>
        <w:t>林草面积显著增加，不但增强水源涵养能</w:t>
      </w:r>
      <w:r>
        <w:rPr>
          <w:rFonts w:hint="default" w:ascii="Times New Roman" w:hAnsi="Times New Roman" w:cs="Times New Roman" w:eastAsiaTheme="majorEastAsia"/>
          <w:color w:val="auto"/>
          <w:w w:val="95"/>
          <w:sz w:val="28"/>
          <w:szCs w:val="28"/>
        </w:rPr>
        <w:t>力</w:t>
      </w:r>
      <w:r>
        <w:rPr>
          <w:rFonts w:hint="default" w:ascii="Times New Roman" w:hAnsi="Times New Roman" w:cs="Times New Roman" w:eastAsiaTheme="majorEastAsia"/>
          <w:color w:val="auto"/>
          <w:spacing w:val="-10"/>
          <w:w w:val="95"/>
          <w:sz w:val="28"/>
          <w:szCs w:val="28"/>
        </w:rPr>
        <w:t>，同时调节小气候，促进生物多样性和生态稳定性，有效地改善生</w:t>
      </w:r>
      <w:r>
        <w:rPr>
          <w:rFonts w:hint="default" w:ascii="Times New Roman" w:hAnsi="Times New Roman" w:cs="Times New Roman" w:eastAsiaTheme="majorEastAsia"/>
          <w:color w:val="auto"/>
          <w:sz w:val="28"/>
          <w:szCs w:val="28"/>
        </w:rPr>
        <w:t>态环境，促进生态系统的良性循环。</w:t>
      </w:r>
      <w:r>
        <w:rPr>
          <w:rFonts w:hint="default" w:ascii="Times New Roman" w:hAnsi="Times New Roman" w:cs="Times New Roman" w:eastAsiaTheme="majorEastAsia"/>
          <w:color w:val="auto"/>
          <w:sz w:val="28"/>
          <w:szCs w:val="28"/>
          <w:lang w:val="en-US" w:eastAsia="zh-CN"/>
        </w:rPr>
        <w:t>林草植被覆盖状况得到有效改善</w:t>
      </w:r>
      <w:r>
        <w:rPr>
          <w:rFonts w:hint="eastAsia" w:ascii="Times New Roman" w:hAnsi="Times New Roman" w:cs="Times New Roman" w:eastAsiaTheme="majorEastAsia"/>
          <w:color w:val="auto"/>
          <w:sz w:val="28"/>
          <w:szCs w:val="28"/>
          <w:lang w:val="en-US" w:eastAsia="zh-CN"/>
        </w:rPr>
        <w:t>，</w:t>
      </w:r>
      <w:r>
        <w:rPr>
          <w:rFonts w:hint="default" w:ascii="Times New Roman" w:hAnsi="Times New Roman" w:cs="Times New Roman" w:eastAsiaTheme="majorEastAsia"/>
          <w:color w:val="auto"/>
          <w:kern w:val="0"/>
          <w:sz w:val="28"/>
          <w:szCs w:val="28"/>
          <w:lang w:val="en-US" w:eastAsia="zh-CN" w:bidi="ar"/>
        </w:rPr>
        <w:t>每年可增加可固碳</w:t>
      </w:r>
      <w:r>
        <w:rPr>
          <w:rFonts w:hint="eastAsia" w:ascii="Times New Roman" w:hAnsi="Times New Roman" w:cs="Times New Roman" w:eastAsiaTheme="majorEastAsia"/>
          <w:color w:val="auto"/>
          <w:kern w:val="0"/>
          <w:sz w:val="28"/>
          <w:szCs w:val="28"/>
          <w:lang w:val="en-US" w:eastAsia="zh-CN" w:bidi="ar"/>
        </w:rPr>
        <w:t>约</w:t>
      </w:r>
      <w:r>
        <w:rPr>
          <w:rFonts w:hint="default" w:ascii="Times New Roman" w:hAnsi="Times New Roman" w:cs="Times New Roman" w:eastAsiaTheme="majorEastAsia"/>
          <w:color w:val="auto"/>
          <w:kern w:val="0"/>
          <w:sz w:val="28"/>
          <w:szCs w:val="28"/>
          <w:lang w:val="en-US" w:eastAsia="zh-CN" w:bidi="ar"/>
        </w:rPr>
        <w:t>4</w:t>
      </w:r>
      <w:r>
        <w:rPr>
          <w:rFonts w:hint="eastAsia" w:ascii="Times New Roman" w:hAnsi="Times New Roman" w:cs="Times New Roman" w:eastAsiaTheme="majorEastAsia"/>
          <w:color w:val="auto"/>
          <w:kern w:val="0"/>
          <w:sz w:val="28"/>
          <w:szCs w:val="28"/>
          <w:lang w:val="en-US" w:eastAsia="zh-CN" w:bidi="ar"/>
        </w:rPr>
        <w:t>00</w:t>
      </w:r>
      <w:r>
        <w:rPr>
          <w:rFonts w:hint="default" w:ascii="Times New Roman" w:hAnsi="Times New Roman" w:cs="Times New Roman" w:eastAsiaTheme="majorEastAsia"/>
          <w:color w:val="auto"/>
          <w:kern w:val="0"/>
          <w:sz w:val="28"/>
          <w:szCs w:val="28"/>
          <w:lang w:val="en-US" w:eastAsia="zh-CN" w:bidi="ar"/>
        </w:rPr>
        <w:t>万吨，</w:t>
      </w:r>
      <w:r>
        <w:rPr>
          <w:rFonts w:hint="eastAsia" w:ascii="Times New Roman" w:hAnsi="Times New Roman" w:cs="Times New Roman" w:eastAsiaTheme="majorEastAsia"/>
          <w:color w:val="auto"/>
          <w:kern w:val="0"/>
          <w:sz w:val="28"/>
          <w:szCs w:val="28"/>
          <w:lang w:val="en-US" w:eastAsia="zh-CN" w:bidi="ar"/>
        </w:rPr>
        <w:t>吸收</w:t>
      </w:r>
      <w:r>
        <w:rPr>
          <w:rFonts w:hint="default" w:ascii="Times New Roman" w:hAnsi="Times New Roman" w:cs="Times New Roman" w:eastAsiaTheme="majorEastAsia"/>
          <w:color w:val="auto"/>
          <w:kern w:val="0"/>
          <w:sz w:val="28"/>
          <w:szCs w:val="28"/>
          <w:lang w:val="en-US" w:eastAsia="zh-CN" w:bidi="ar"/>
        </w:rPr>
        <w:t>二氧化碳</w:t>
      </w:r>
      <w:r>
        <w:rPr>
          <w:rFonts w:hint="eastAsia" w:ascii="Times New Roman" w:hAnsi="Times New Roman" w:cs="Times New Roman" w:eastAsiaTheme="majorEastAsia"/>
          <w:color w:val="auto"/>
          <w:kern w:val="0"/>
          <w:sz w:val="28"/>
          <w:szCs w:val="28"/>
          <w:lang w:val="en-US" w:eastAsia="zh-CN" w:bidi="ar"/>
        </w:rPr>
        <w:t>约1700</w:t>
      </w:r>
      <w:r>
        <w:rPr>
          <w:rFonts w:hint="default" w:ascii="Times New Roman" w:hAnsi="Times New Roman" w:cs="Times New Roman" w:eastAsiaTheme="majorEastAsia"/>
          <w:color w:val="auto"/>
          <w:kern w:val="0"/>
          <w:sz w:val="28"/>
          <w:szCs w:val="28"/>
          <w:lang w:val="en-US" w:eastAsia="zh-CN" w:bidi="ar"/>
        </w:rPr>
        <w:t>万吨，氧气释放量</w:t>
      </w:r>
      <w:r>
        <w:rPr>
          <w:rFonts w:hint="eastAsia" w:ascii="Times New Roman" w:hAnsi="Times New Roman" w:cs="Times New Roman" w:eastAsiaTheme="majorEastAsia"/>
          <w:color w:val="auto"/>
          <w:kern w:val="0"/>
          <w:sz w:val="28"/>
          <w:szCs w:val="28"/>
          <w:lang w:val="en-US" w:eastAsia="zh-CN" w:bidi="ar"/>
        </w:rPr>
        <w:t>约</w:t>
      </w:r>
      <w:r>
        <w:rPr>
          <w:rFonts w:hint="default" w:ascii="Times New Roman" w:hAnsi="Times New Roman" w:cs="Times New Roman" w:eastAsiaTheme="majorEastAsia"/>
          <w:color w:val="auto"/>
          <w:kern w:val="0"/>
          <w:sz w:val="28"/>
          <w:szCs w:val="28"/>
          <w:lang w:val="en-US" w:eastAsia="zh-CN" w:bidi="ar"/>
        </w:rPr>
        <w:t>为</w:t>
      </w:r>
      <w:r>
        <w:rPr>
          <w:rFonts w:hint="eastAsia" w:ascii="Times New Roman" w:hAnsi="Times New Roman" w:cs="Times New Roman" w:eastAsiaTheme="majorEastAsia"/>
          <w:color w:val="auto"/>
          <w:kern w:val="0"/>
          <w:sz w:val="28"/>
          <w:szCs w:val="28"/>
          <w:lang w:val="en-US" w:eastAsia="zh-CN" w:bidi="ar"/>
        </w:rPr>
        <w:t>2</w:t>
      </w:r>
      <w:r>
        <w:rPr>
          <w:rFonts w:hint="default" w:ascii="Times New Roman" w:hAnsi="Times New Roman" w:cs="Times New Roman" w:eastAsiaTheme="majorEastAsia"/>
          <w:color w:val="auto"/>
          <w:kern w:val="0"/>
          <w:sz w:val="28"/>
          <w:szCs w:val="28"/>
          <w:lang w:val="en-US" w:eastAsia="zh-CN" w:bidi="ar"/>
        </w:rPr>
        <w:t>亿吨</w:t>
      </w:r>
      <w:r>
        <w:rPr>
          <w:rFonts w:hint="default" w:ascii="Times New Roman" w:hAnsi="Times New Roman" w:cs="Times New Roman" w:eastAsiaTheme="majorEastAsia"/>
          <w:color w:val="auto"/>
          <w:sz w:val="28"/>
          <w:szCs w:val="28"/>
          <w:lang w:val="en-US" w:eastAsia="zh-CN"/>
        </w:rPr>
        <w:t>。</w:t>
      </w:r>
    </w:p>
    <w:p w14:paraId="26BD05BB">
      <w:pPr>
        <w:ind w:firstLine="648" w:firstLineChars="250"/>
        <w:rPr>
          <w:rFonts w:hint="default" w:ascii="Times New Roman" w:hAnsi="Times New Roman" w:cs="Times New Roman" w:eastAsiaTheme="majorEastAsia"/>
          <w:b/>
          <w:color w:val="auto"/>
          <w:spacing w:val="-4"/>
          <w:w w:val="95"/>
          <w:sz w:val="28"/>
          <w:lang w:val="en-US" w:eastAsia="zh-CN"/>
        </w:rPr>
      </w:pPr>
      <w:r>
        <w:rPr>
          <w:rFonts w:hint="default" w:ascii="Times New Roman" w:hAnsi="Times New Roman" w:cs="Times New Roman" w:eastAsiaTheme="majorEastAsia"/>
          <w:b/>
          <w:color w:val="auto"/>
          <w:spacing w:val="-4"/>
          <w:w w:val="95"/>
          <w:sz w:val="28"/>
          <w:lang w:val="en-US" w:eastAsia="zh-CN"/>
        </w:rPr>
        <w:t>（4）净化空气</w:t>
      </w:r>
    </w:p>
    <w:p w14:paraId="15304941">
      <w:pPr>
        <w:ind w:firstLine="700" w:firstLineChars="250"/>
        <w:rPr>
          <w:rFonts w:hint="default" w:ascii="Times New Roman" w:hAnsi="Times New Roman" w:cs="Times New Roman" w:eastAsiaTheme="majorEastAsia"/>
          <w:color w:val="auto"/>
          <w:sz w:val="28"/>
          <w:lang w:val="en-US" w:eastAsia="zh-CN"/>
        </w:rPr>
      </w:pPr>
      <w:r>
        <w:rPr>
          <w:rFonts w:hint="eastAsia" w:ascii="Times New Roman" w:hAnsi="Times New Roman" w:cs="Times New Roman" w:eastAsiaTheme="majorEastAsia"/>
          <w:color w:val="auto"/>
          <w:sz w:val="28"/>
          <w:lang w:val="en-US" w:eastAsia="zh-CN"/>
        </w:rPr>
        <w:t>相关</w:t>
      </w:r>
      <w:r>
        <w:rPr>
          <w:rFonts w:hint="default" w:ascii="Times New Roman" w:hAnsi="Times New Roman" w:cs="Times New Roman" w:eastAsiaTheme="majorEastAsia"/>
          <w:color w:val="auto"/>
          <w:sz w:val="28"/>
          <w:lang w:val="en-US" w:eastAsia="zh-CN"/>
        </w:rPr>
        <w:t>研究表明</w:t>
      </w:r>
      <w:r>
        <w:rPr>
          <w:rFonts w:hint="eastAsia" w:ascii="Times New Roman" w:hAnsi="Times New Roman" w:cs="Times New Roman" w:eastAsiaTheme="majorEastAsia"/>
          <w:color w:val="auto"/>
          <w:sz w:val="28"/>
          <w:lang w:val="en-US" w:eastAsia="zh-CN"/>
        </w:rPr>
        <w:t>，</w:t>
      </w:r>
      <w:r>
        <w:rPr>
          <w:rFonts w:hint="default" w:ascii="Times New Roman" w:hAnsi="Times New Roman" w:cs="Times New Roman" w:eastAsiaTheme="majorEastAsia"/>
          <w:color w:val="auto"/>
          <w:sz w:val="28"/>
          <w:lang w:val="en-US" w:eastAsia="zh-CN"/>
        </w:rPr>
        <w:t>1公顷生长良好的森林，能吸收二氧化硫12吨，固定尘埃750吨，并可杀灭空气中的细菌。据此推算，通过规划</w:t>
      </w:r>
      <w:r>
        <w:rPr>
          <w:rFonts w:hint="eastAsia" w:ascii="Times New Roman" w:hAnsi="Times New Roman" w:cs="Times New Roman" w:eastAsiaTheme="majorEastAsia"/>
          <w:color w:val="auto"/>
          <w:sz w:val="28"/>
          <w:lang w:val="en-US" w:eastAsia="zh-CN"/>
        </w:rPr>
        <w:t>的</w:t>
      </w:r>
      <w:r>
        <w:rPr>
          <w:rFonts w:hint="default" w:ascii="Times New Roman" w:hAnsi="Times New Roman" w:cs="Times New Roman" w:eastAsiaTheme="majorEastAsia"/>
          <w:color w:val="auto"/>
          <w:sz w:val="28"/>
          <w:lang w:val="en-US" w:eastAsia="zh-CN"/>
        </w:rPr>
        <w:t>实施</w:t>
      </w:r>
      <w:r>
        <w:rPr>
          <w:rFonts w:hint="eastAsia" w:ascii="Times New Roman" w:hAnsi="Times New Roman" w:cs="Times New Roman" w:eastAsiaTheme="majorEastAsia"/>
          <w:color w:val="auto"/>
          <w:sz w:val="28"/>
          <w:lang w:val="en-US" w:eastAsia="zh-CN"/>
        </w:rPr>
        <w:t>，结合全省森林覆盖率，</w:t>
      </w:r>
      <w:r>
        <w:rPr>
          <w:rFonts w:hint="default" w:ascii="Times New Roman" w:hAnsi="Times New Roman" w:cs="Times New Roman" w:eastAsiaTheme="majorEastAsia"/>
          <w:color w:val="auto"/>
          <w:sz w:val="28"/>
          <w:lang w:val="en-US" w:eastAsia="zh-CN"/>
        </w:rPr>
        <w:t>每年可吸收二氧化硫</w:t>
      </w:r>
      <w:r>
        <w:rPr>
          <w:rFonts w:hint="eastAsia" w:ascii="Times New Roman" w:hAnsi="Times New Roman" w:cs="Times New Roman" w:eastAsiaTheme="majorEastAsia"/>
          <w:color w:val="auto"/>
          <w:sz w:val="28"/>
          <w:lang w:val="en-US" w:eastAsia="zh-CN"/>
        </w:rPr>
        <w:t>约1000</w:t>
      </w:r>
      <w:r>
        <w:rPr>
          <w:rFonts w:hint="default" w:ascii="Times New Roman" w:hAnsi="Times New Roman" w:cs="Times New Roman" w:eastAsiaTheme="majorEastAsia"/>
          <w:color w:val="auto"/>
          <w:sz w:val="28"/>
          <w:lang w:val="en-US" w:eastAsia="zh-CN"/>
        </w:rPr>
        <w:t>万吨，每年吸收粉尘量</w:t>
      </w:r>
      <w:r>
        <w:rPr>
          <w:rFonts w:hint="eastAsia" w:ascii="Times New Roman" w:hAnsi="Times New Roman" w:cs="Times New Roman" w:eastAsiaTheme="majorEastAsia"/>
          <w:color w:val="auto"/>
          <w:sz w:val="28"/>
          <w:lang w:val="en-US" w:eastAsia="zh-CN"/>
        </w:rPr>
        <w:t>约7</w:t>
      </w:r>
      <w:r>
        <w:rPr>
          <w:rFonts w:hint="default" w:ascii="Times New Roman" w:hAnsi="Times New Roman" w:cs="Times New Roman" w:eastAsiaTheme="majorEastAsia"/>
          <w:color w:val="auto"/>
          <w:sz w:val="28"/>
          <w:lang w:val="en-US" w:eastAsia="zh-CN"/>
        </w:rPr>
        <w:t>亿吨，吸收氟化物量</w:t>
      </w:r>
      <w:r>
        <w:rPr>
          <w:rFonts w:hint="eastAsia" w:ascii="Times New Roman" w:hAnsi="Times New Roman" w:cs="Times New Roman" w:eastAsiaTheme="majorEastAsia"/>
          <w:color w:val="auto"/>
          <w:sz w:val="28"/>
          <w:lang w:val="en-US" w:eastAsia="zh-CN"/>
        </w:rPr>
        <w:t>约1300</w:t>
      </w:r>
      <w:r>
        <w:rPr>
          <w:rFonts w:hint="default" w:ascii="Times New Roman" w:hAnsi="Times New Roman" w:cs="Times New Roman" w:eastAsiaTheme="majorEastAsia"/>
          <w:color w:val="auto"/>
          <w:sz w:val="28"/>
          <w:lang w:val="en-US" w:eastAsia="zh-CN"/>
        </w:rPr>
        <w:t>万吨。通过规划的封禁、经济林、水保林等林草措施的实施，提高了森林覆盖率，对调控区域气候变化、提高空气质量等方面起到了明显作用。</w:t>
      </w:r>
    </w:p>
    <w:p w14:paraId="476E7BC7">
      <w:pPr>
        <w:pStyle w:val="7"/>
        <w:bidi w:val="0"/>
        <w:rPr>
          <w:rFonts w:hint="eastAsia" w:ascii="黑体" w:hAnsi="黑体" w:eastAsia="黑体" w:cs="黑体"/>
          <w:color w:val="auto"/>
          <w:sz w:val="32"/>
          <w:szCs w:val="32"/>
          <w:lang w:val="en-US" w:eastAsia="zh-CN"/>
        </w:rPr>
      </w:pPr>
      <w:bookmarkStart w:id="278" w:name="_Toc5327"/>
      <w:bookmarkStart w:id="279" w:name="_Toc16602"/>
      <w:r>
        <w:rPr>
          <w:rFonts w:hint="eastAsia" w:ascii="黑体" w:hAnsi="黑体" w:eastAsia="黑体" w:cs="黑体"/>
          <w:color w:val="auto"/>
          <w:sz w:val="32"/>
          <w:szCs w:val="32"/>
          <w:lang w:val="en-US" w:eastAsia="zh-CN"/>
        </w:rPr>
        <w:t>二、经济效益</w:t>
      </w:r>
      <w:bookmarkEnd w:id="278"/>
      <w:bookmarkEnd w:id="279"/>
    </w:p>
    <w:p w14:paraId="4CB2C14C">
      <w:pPr>
        <w:ind w:firstLine="700" w:firstLineChars="250"/>
        <w:rPr>
          <w:rFonts w:hint="eastAsia" w:ascii="宋体" w:hAnsi="宋体" w:eastAsia="宋体" w:cs="宋体"/>
          <w:color w:val="auto"/>
          <w:kern w:val="0"/>
          <w:sz w:val="27"/>
          <w:szCs w:val="27"/>
          <w:lang w:val="en-US" w:eastAsia="zh-CN" w:bidi="ar"/>
        </w:rPr>
      </w:pPr>
      <w:r>
        <w:rPr>
          <w:rFonts w:hint="default" w:ascii="Times New Roman" w:hAnsi="Times New Roman" w:cs="Times New Roman"/>
          <w:color w:val="auto"/>
          <w:sz w:val="28"/>
          <w:lang w:val="en-US" w:eastAsia="zh-CN"/>
        </w:rPr>
        <w:t>坡改梯工程每年可增产粮食产量约0.27亿吨，每年可产生直接经济效益约0.</w:t>
      </w:r>
      <w:r>
        <w:rPr>
          <w:rFonts w:hint="eastAsia" w:ascii="Times New Roman" w:hAnsi="Times New Roman" w:cs="Times New Roman"/>
          <w:color w:val="auto"/>
          <w:sz w:val="28"/>
          <w:lang w:val="en-US" w:eastAsia="zh-CN"/>
        </w:rPr>
        <w:t>68</w:t>
      </w:r>
      <w:r>
        <w:rPr>
          <w:rFonts w:hint="default" w:ascii="Times New Roman" w:hAnsi="Times New Roman" w:cs="Times New Roman"/>
          <w:color w:val="auto"/>
          <w:sz w:val="28"/>
          <w:lang w:val="en-US" w:eastAsia="zh-CN"/>
        </w:rPr>
        <w:t>亿元。</w:t>
      </w:r>
      <w:r>
        <w:rPr>
          <w:rFonts w:hint="eastAsia" w:ascii="Times New Roman" w:hAnsi="Times New Roman" w:cs="Times New Roman"/>
          <w:color w:val="auto"/>
          <w:sz w:val="28"/>
          <w:lang w:val="en-US" w:eastAsia="zh-CN"/>
        </w:rPr>
        <w:t>经济林发挥效益后每年可增加收入约13亿元。</w:t>
      </w:r>
      <w:r>
        <w:rPr>
          <w:rFonts w:hint="default" w:ascii="Times New Roman" w:hAnsi="Times New Roman" w:cs="Times New Roman"/>
          <w:color w:val="auto"/>
          <w:sz w:val="28"/>
          <w:lang w:val="en-US" w:eastAsia="zh-CN"/>
        </w:rPr>
        <w:t>工程各项治理措施全部发挥效益后，每年还可以产生显著的间接经济效益</w:t>
      </w:r>
      <w:r>
        <w:rPr>
          <w:rFonts w:hint="eastAsia" w:ascii="Times New Roman" w:hAnsi="Times New Roman" w:cs="Times New Roman"/>
          <w:color w:val="auto"/>
          <w:sz w:val="28"/>
          <w:lang w:val="en-US" w:eastAsia="zh-CN"/>
        </w:rPr>
        <w:t>，</w:t>
      </w:r>
      <w:r>
        <w:rPr>
          <w:rFonts w:hint="default" w:ascii="Times New Roman" w:hAnsi="Times New Roman" w:cs="Times New Roman"/>
          <w:color w:val="auto"/>
          <w:sz w:val="28"/>
          <w:lang w:val="en-US" w:eastAsia="zh-CN"/>
        </w:rPr>
        <w:t>如固碳、释放氧气、净化空气等生态服务功能的补偿。按照当前全国运行近80日的碳交易平均价格45元/吨计算，单就固碳就可形成</w:t>
      </w:r>
      <w:r>
        <w:rPr>
          <w:rFonts w:hint="eastAsia" w:ascii="Times New Roman" w:hAnsi="Times New Roman" w:cs="Times New Roman"/>
          <w:color w:val="auto"/>
          <w:sz w:val="28"/>
          <w:lang w:val="en-US" w:eastAsia="zh-CN"/>
        </w:rPr>
        <w:t>约2</w:t>
      </w:r>
      <w:r>
        <w:rPr>
          <w:rFonts w:hint="default" w:ascii="Times New Roman" w:hAnsi="Times New Roman" w:cs="Times New Roman"/>
          <w:color w:val="auto"/>
          <w:sz w:val="28"/>
          <w:lang w:val="en-US" w:eastAsia="zh-CN"/>
        </w:rPr>
        <w:t>亿元的间接经济效益。</w:t>
      </w:r>
      <w:r>
        <w:rPr>
          <w:rFonts w:hint="eastAsia" w:ascii="宋体" w:hAnsi="宋体" w:eastAsia="宋体" w:cs="宋体"/>
          <w:color w:val="auto"/>
          <w:kern w:val="0"/>
          <w:sz w:val="27"/>
          <w:szCs w:val="27"/>
          <w:lang w:val="en-US" w:eastAsia="zh-CN" w:bidi="ar"/>
        </w:rPr>
        <w:t>通过十四五水土保持规划实施，全省通过坡耕地的改造，耕地质量、耕作条件、土地生产力得到提高，雨水资源得到有效利用，抵御干旱的能力明显提升，夯实了农业生产发展基础；通过水土保持林（草）及经济果木林工程的实施，在治理水土流失的同时，保障了农林特色产业的发展，调整了农村产业结构，促进了农村经济发展，提高了农民收入，农业综合生产能力进一步增强。</w:t>
      </w:r>
    </w:p>
    <w:p w14:paraId="3EA75BF3">
      <w:pPr>
        <w:pStyle w:val="7"/>
        <w:bidi w:val="0"/>
        <w:rPr>
          <w:rFonts w:hint="eastAsia" w:ascii="黑体" w:hAnsi="黑体" w:eastAsia="黑体" w:cs="黑体"/>
          <w:color w:val="auto"/>
          <w:sz w:val="32"/>
          <w:szCs w:val="32"/>
          <w:lang w:val="en-US" w:eastAsia="zh-CN"/>
        </w:rPr>
      </w:pPr>
      <w:bookmarkStart w:id="280" w:name="_Toc25404"/>
      <w:bookmarkStart w:id="281" w:name="_Toc4800"/>
      <w:r>
        <w:rPr>
          <w:rFonts w:hint="eastAsia" w:ascii="黑体" w:hAnsi="黑体" w:eastAsia="黑体" w:cs="黑体"/>
          <w:color w:val="auto"/>
          <w:sz w:val="32"/>
          <w:szCs w:val="32"/>
          <w:lang w:val="en-US" w:eastAsia="zh-CN"/>
        </w:rPr>
        <w:t>三、社会效益</w:t>
      </w:r>
      <w:bookmarkEnd w:id="280"/>
      <w:bookmarkEnd w:id="281"/>
    </w:p>
    <w:p w14:paraId="34B1A607">
      <w:pPr>
        <w:ind w:firstLine="678" w:firstLineChars="250"/>
        <w:rPr>
          <w:rFonts w:hint="eastAsia" w:ascii="宋体" w:hAnsi="宋体" w:eastAsia="宋体" w:cs="宋体"/>
          <w:color w:val="auto"/>
          <w:kern w:val="0"/>
          <w:sz w:val="27"/>
          <w:szCs w:val="27"/>
          <w:lang w:val="en-US" w:eastAsia="zh-CN" w:bidi="ar"/>
        </w:rPr>
      </w:pPr>
      <w:r>
        <w:rPr>
          <w:rFonts w:hint="eastAsia" w:ascii="宋体" w:hAnsi="宋体" w:eastAsia="宋体" w:cs="宋体"/>
          <w:b/>
          <w:color w:val="auto"/>
          <w:kern w:val="0"/>
          <w:sz w:val="27"/>
          <w:szCs w:val="27"/>
          <w:lang w:val="en-US" w:eastAsia="zh-CN" w:bidi="ar"/>
        </w:rPr>
        <w:t>提高社会保障力，促进城乡结合发展</w:t>
      </w:r>
      <w:r>
        <w:rPr>
          <w:rFonts w:hint="eastAsia" w:ascii="宋体" w:hAnsi="宋体" w:eastAsia="宋体" w:cs="宋体"/>
          <w:color w:val="auto"/>
          <w:kern w:val="0"/>
          <w:sz w:val="27"/>
          <w:szCs w:val="27"/>
          <w:lang w:val="en-US" w:eastAsia="zh-CN" w:bidi="ar"/>
        </w:rPr>
        <w:t>。通过十四五水土保持规划实施，可显著减少洪水、泥石流等水土流失造成的自然灾害，减少社会不稳定因素和不利的政治影响，维持正常的生活与生产秩序，保障经济建设成果、社会财富以及人民生命财产安全。可保障未来经济社会持续稳定发展对水资源的需求，提高城乡饮水安全和粮食安全保障程度，改善城乡生活环境，缓解水资源短缺地区、用水困难地区和生态敏感地区的水资源供需矛盾，促进城乡协调发展。</w:t>
      </w:r>
    </w:p>
    <w:p w14:paraId="41AC709D">
      <w:pPr>
        <w:ind w:firstLine="678" w:firstLineChars="250"/>
        <w:rPr>
          <w:rFonts w:hint="eastAsia" w:ascii="宋体" w:hAnsi="宋体" w:eastAsia="宋体" w:cs="宋体"/>
          <w:color w:val="auto"/>
          <w:kern w:val="0"/>
          <w:sz w:val="27"/>
          <w:szCs w:val="27"/>
          <w:lang w:val="en-US" w:eastAsia="zh-CN" w:bidi="ar"/>
        </w:rPr>
      </w:pPr>
      <w:r>
        <w:rPr>
          <w:rFonts w:hint="eastAsia" w:ascii="宋体" w:hAnsi="宋体" w:eastAsia="宋体" w:cs="宋体"/>
          <w:b/>
          <w:color w:val="auto"/>
          <w:kern w:val="0"/>
          <w:sz w:val="27"/>
          <w:szCs w:val="27"/>
          <w:lang w:val="en-US" w:eastAsia="zh-CN" w:bidi="ar"/>
        </w:rPr>
        <w:t>改善农村环境，建设美丽乡村</w:t>
      </w:r>
      <w:r>
        <w:rPr>
          <w:rFonts w:hint="eastAsia" w:ascii="宋体" w:hAnsi="宋体" w:eastAsia="宋体" w:cs="宋体"/>
          <w:color w:val="auto"/>
          <w:kern w:val="0"/>
          <w:sz w:val="27"/>
          <w:szCs w:val="27"/>
          <w:lang w:val="en-US" w:eastAsia="zh-CN" w:bidi="ar"/>
        </w:rPr>
        <w:t>。规划通过加强自然修复，实施封禁治理、能源代替工程、农村清洁工程、人工湿地、水土保持景观、农村基础设施工程等措施，有效改善了村容村貌和生活环境，推动了新农村建设和生态旅游的发展，为乡村振兴战略添砖加瓦。</w:t>
      </w:r>
    </w:p>
    <w:p w14:paraId="570E469F">
      <w:pPr>
        <w:ind w:firstLine="678" w:firstLineChars="250"/>
        <w:rPr>
          <w:rFonts w:hint="eastAsia" w:ascii="宋体" w:hAnsi="宋体" w:eastAsia="宋体" w:cs="宋体"/>
          <w:b/>
          <w:color w:val="auto"/>
          <w:kern w:val="0"/>
          <w:sz w:val="27"/>
          <w:szCs w:val="27"/>
          <w:lang w:val="en-US" w:eastAsia="zh-CN" w:bidi="ar"/>
        </w:rPr>
      </w:pPr>
      <w:r>
        <w:rPr>
          <w:rFonts w:hint="eastAsia" w:ascii="宋体" w:hAnsi="宋体" w:eastAsia="宋体" w:cs="宋体"/>
          <w:b/>
          <w:color w:val="auto"/>
          <w:kern w:val="0"/>
          <w:sz w:val="27"/>
          <w:szCs w:val="27"/>
          <w:lang w:val="en-US" w:eastAsia="zh-CN" w:bidi="ar"/>
        </w:rPr>
        <w:t>水土保持公共服务能力得到提高</w:t>
      </w:r>
      <w:r>
        <w:rPr>
          <w:rFonts w:hint="eastAsia" w:ascii="宋体" w:hAnsi="宋体" w:eastAsia="宋体" w:cs="宋体"/>
          <w:color w:val="auto"/>
          <w:kern w:val="0"/>
          <w:sz w:val="27"/>
          <w:szCs w:val="27"/>
          <w:lang w:val="en-US" w:eastAsia="zh-CN" w:bidi="ar"/>
        </w:rPr>
        <w:t>。通过十四五水土保持规划实施，全省水土保持法律法规体系基本健全，强化了政府防治水土流失和改善生态的社会管理职能，形成了比较完善的预防监督管理和监测评价体系；通过科研基地、标准体系、科技示范园等基础平台建设，完善水土保持宣传推广、政策、技术标准、规划、科技支撑、机构队伍体系，社会服务能力得到提高；通过构建基于大数据的全省水土保持信息平台，水土保持信息化水平大幅提高。</w:t>
      </w:r>
    </w:p>
    <w:p w14:paraId="7480AEFB">
      <w:pPr>
        <w:pStyle w:val="12"/>
        <w:rPr>
          <w:rFonts w:hint="eastAsia"/>
          <w:color w:val="auto"/>
          <w:sz w:val="36"/>
          <w:szCs w:val="36"/>
          <w:lang w:val="en-US" w:eastAsia="zh-CN"/>
        </w:rPr>
      </w:pPr>
    </w:p>
    <w:p w14:paraId="4739FE3B">
      <w:pPr>
        <w:pStyle w:val="12"/>
        <w:rPr>
          <w:rFonts w:hint="eastAsia"/>
          <w:color w:val="auto"/>
          <w:sz w:val="36"/>
          <w:szCs w:val="36"/>
          <w:lang w:val="en-US" w:eastAsia="zh-CN"/>
        </w:rPr>
        <w:sectPr>
          <w:headerReference r:id="rId27" w:type="first"/>
          <w:footerReference r:id="rId29" w:type="first"/>
          <w:headerReference r:id="rId26" w:type="default"/>
          <w:footerReference r:id="rId2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73"/>
    <w:bookmarkEnd w:id="274"/>
    <w:bookmarkEnd w:id="275"/>
    <w:p w14:paraId="77520B73">
      <w:pPr>
        <w:pStyle w:val="6"/>
        <w:keepNext/>
        <w:keepLines/>
        <w:pageBreakBefore/>
        <w:widowControl w:val="0"/>
        <w:kinsoku/>
        <w:wordWrap/>
        <w:overflowPunct/>
        <w:topLinePunct w:val="0"/>
        <w:autoSpaceDE/>
        <w:autoSpaceDN/>
        <w:bidi w:val="0"/>
        <w:adjustRightInd/>
        <w:snapToGrid/>
        <w:spacing w:before="240" w:after="240" w:line="360" w:lineRule="auto"/>
        <w:jc w:val="center"/>
        <w:textAlignment w:val="auto"/>
        <w:rPr>
          <w:rFonts w:hint="default" w:ascii="方正小标宋_GBK" w:hAnsi="Times New Roman" w:eastAsia="方正小标宋_GBK" w:cs="Times New Roman"/>
          <w:b w:val="0"/>
          <w:bCs/>
          <w:color w:val="auto"/>
          <w:kern w:val="44"/>
          <w:sz w:val="36"/>
          <w:szCs w:val="36"/>
          <w:lang w:val="en-US" w:eastAsia="zh-CN" w:bidi="ar-SA"/>
        </w:rPr>
      </w:pPr>
      <w:bookmarkStart w:id="282" w:name="_Toc4280"/>
      <w:bookmarkStart w:id="283" w:name="_Toc30568"/>
      <w:r>
        <w:rPr>
          <w:rFonts w:hint="eastAsia" w:ascii="方正小标宋_GBK" w:hAnsi="Times New Roman" w:eastAsia="方正小标宋_GBK" w:cs="Times New Roman"/>
          <w:b/>
          <w:bCs w:val="0"/>
          <w:color w:val="auto"/>
          <w:kern w:val="44"/>
          <w:sz w:val="36"/>
          <w:szCs w:val="36"/>
          <w:lang w:val="en-US" w:eastAsia="zh-CN" w:bidi="ar-SA"/>
        </w:rPr>
        <w:t>第十二章 实施保障措施</w:t>
      </w:r>
      <w:bookmarkEnd w:id="282"/>
      <w:bookmarkEnd w:id="283"/>
    </w:p>
    <w:p w14:paraId="4471ABBD">
      <w:pPr>
        <w:pStyle w:val="7"/>
        <w:bidi w:val="0"/>
        <w:rPr>
          <w:rFonts w:hint="eastAsia" w:ascii="黑体" w:hAnsi="黑体" w:eastAsia="黑体" w:cs="黑体"/>
          <w:color w:val="auto"/>
          <w:sz w:val="32"/>
          <w:szCs w:val="32"/>
          <w:lang w:val="en-US" w:eastAsia="zh-CN"/>
        </w:rPr>
      </w:pPr>
      <w:bookmarkStart w:id="284" w:name="_Toc404983425"/>
      <w:bookmarkStart w:id="285" w:name="_Toc406692604"/>
      <w:bookmarkStart w:id="286" w:name="_Toc375908193"/>
      <w:bookmarkStart w:id="287" w:name="_Toc4025"/>
      <w:bookmarkStart w:id="288" w:name="_Toc21834"/>
      <w:bookmarkStart w:id="289" w:name="_Toc8790"/>
      <w:bookmarkStart w:id="290" w:name="_Toc9899"/>
      <w:bookmarkStart w:id="291" w:name="_Toc439060159"/>
      <w:bookmarkStart w:id="292" w:name="_Toc66042940"/>
      <w:bookmarkStart w:id="293" w:name="_Toc4244"/>
      <w:r>
        <w:rPr>
          <w:rFonts w:hint="eastAsia" w:ascii="黑体" w:hAnsi="黑体" w:eastAsia="黑体" w:cs="黑体"/>
          <w:color w:val="auto"/>
          <w:sz w:val="32"/>
          <w:szCs w:val="32"/>
          <w:lang w:val="en-US" w:eastAsia="zh-CN"/>
        </w:rPr>
        <w:t>一、加强组织</w:t>
      </w:r>
      <w:bookmarkEnd w:id="284"/>
      <w:bookmarkEnd w:id="285"/>
      <w:bookmarkEnd w:id="286"/>
      <w:r>
        <w:rPr>
          <w:rFonts w:hint="eastAsia" w:ascii="黑体" w:hAnsi="黑体" w:eastAsia="黑体" w:cs="黑体"/>
          <w:color w:val="auto"/>
          <w:sz w:val="32"/>
          <w:szCs w:val="32"/>
          <w:lang w:val="en-US" w:eastAsia="zh-CN"/>
        </w:rPr>
        <w:t>领导</w:t>
      </w:r>
      <w:bookmarkEnd w:id="287"/>
      <w:bookmarkEnd w:id="288"/>
      <w:bookmarkEnd w:id="289"/>
      <w:bookmarkEnd w:id="290"/>
      <w:bookmarkEnd w:id="291"/>
      <w:bookmarkEnd w:id="292"/>
    </w:p>
    <w:p w14:paraId="7537B2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（1）各级人民政府作为规划实施主体单位，要将水土保持作为</w:t>
      </w:r>
      <w:r>
        <w:rPr>
          <w:rFonts w:hint="default" w:ascii="Times New Roman" w:hAnsi="Times New Roman" w:cs="Times New Roman"/>
          <w:b w:val="0"/>
          <w:bCs/>
          <w:color w:val="auto"/>
          <w:kern w:val="2"/>
          <w:sz w:val="28"/>
          <w:szCs w:val="28"/>
          <w:lang w:val="en-US" w:eastAsia="zh-CN"/>
        </w:rPr>
        <w:t>国家生态文明建设和乡村振兴战略发展</w:t>
      </w:r>
      <w:r>
        <w:rPr>
          <w:rFonts w:hint="eastAsia" w:ascii="Times New Roman" w:hAnsi="Times New Roman" w:eastAsia="宋体" w:cs="Times New Roman"/>
          <w:snapToGrid w:val="0"/>
          <w:color w:val="auto"/>
          <w:sz w:val="28"/>
          <w:szCs w:val="28"/>
          <w:lang w:val="en-US" w:eastAsia="zh-CN"/>
        </w:rPr>
        <w:t>的重要内容，将规划确定的水土保持工作目标和任务，纳入本级国民经济和社会发展规划，安排专项资金，并组织实施。</w:t>
      </w:r>
    </w:p>
    <w:p w14:paraId="26B2610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2）利用各级水土保持相关部门健全协调机制，进一步强化政府领导、水利牵头、部门协作、社会参与的水土保持工作机制，落实水土保持地方主体责任。强化政府各部门职责分工，衔接协调相关规划，密切配合，综合防治水土流失，稳步推进各项工作。</w:t>
      </w:r>
    </w:p>
    <w:p w14:paraId="51D81D54">
      <w:pPr>
        <w:ind w:firstLine="700" w:firstLineChars="250"/>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（3）水土保持重点工程建设责任主体执行项目法人制，建立工程管理制度、落实项目责任、明确任务，组织开展工程建设及相关监测工作等。</w:t>
      </w:r>
    </w:p>
    <w:p w14:paraId="53AF56FD">
      <w:pPr>
        <w:ind w:firstLine="700" w:firstLineChars="250"/>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4）做好前期工作，加强项目管理。加大前期工作投入，积极协商有关部门，简化工作流程，加快前期准备、实施、竣工验收等进度。对拟建工程项目，按照规划分工，分级管理，各负其责，建立科学的考评及管理制度，实行定期督查；加强指导和服务，积极总结推广先进管理经验。</w:t>
      </w:r>
    </w:p>
    <w:p w14:paraId="4F852109">
      <w:pPr>
        <w:pStyle w:val="7"/>
        <w:bidi w:val="0"/>
        <w:rPr>
          <w:rFonts w:hint="eastAsia" w:ascii="黑体" w:hAnsi="黑体" w:eastAsia="黑体" w:cs="黑体"/>
          <w:color w:val="auto"/>
          <w:sz w:val="32"/>
          <w:szCs w:val="32"/>
          <w:lang w:val="en-US" w:eastAsia="zh-CN"/>
        </w:rPr>
      </w:pPr>
      <w:bookmarkStart w:id="294" w:name="_Toc7951"/>
      <w:bookmarkStart w:id="295" w:name="_Toc3977"/>
      <w:r>
        <w:rPr>
          <w:rFonts w:hint="eastAsia" w:ascii="黑体" w:hAnsi="黑体" w:eastAsia="黑体" w:cs="黑体"/>
          <w:color w:val="auto"/>
          <w:sz w:val="32"/>
          <w:szCs w:val="32"/>
          <w:lang w:val="en-US" w:eastAsia="zh-CN"/>
        </w:rPr>
        <w:t>二、政策法制保障</w:t>
      </w:r>
      <w:bookmarkEnd w:id="294"/>
      <w:bookmarkEnd w:id="295"/>
    </w:p>
    <w:p w14:paraId="37CADCB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1）发挥法治对水土保持工作的引领、规范、保障作用，全面提高依法预防和治理水土流失水平，为保护和合理利用水土资源提供有力法治保障。各级政府要将法治观念贯穿于水土流失防治各方面和全过程，切实提高水土保持依法行政水平，增强全民水土保持法治观念，夯实依法推动多彩贵州建设的社会基础。</w:t>
      </w:r>
    </w:p>
    <w:p w14:paraId="371B682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2）创新水土保持设施的管理政策。水土保持重点工程建设主体可采用灵活的管理体制，搞活经营权，落实管理权，促进工程良性运行。如引用大户治理模式和推行项目竞争制，动员社会力量引进业主参与水土流失治理，并组织发动当地群众积极参与治理。除此之外也要探索建立授权经营、权责明确的管理体制与运营机制。项目开工前可将各项措施使用权和管护责任落实到农户。同时，通过强化管护责任，进一步确保工程效益发挥。</w:t>
      </w:r>
    </w:p>
    <w:p w14:paraId="72BC9A35">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auto"/>
        </w:rPr>
      </w:pPr>
      <w:r>
        <w:rPr>
          <w:rFonts w:hint="eastAsia" w:ascii="Times New Roman" w:hAnsi="Times New Roman" w:eastAsia="宋体" w:cs="Times New Roman"/>
          <w:snapToGrid w:val="0"/>
          <w:color w:val="auto"/>
          <w:sz w:val="28"/>
          <w:szCs w:val="28"/>
          <w:lang w:val="en-US" w:eastAsia="zh-CN"/>
        </w:rPr>
        <w:t>（3）全面</w:t>
      </w:r>
      <w:r>
        <w:rPr>
          <w:rFonts w:hint="eastAsia" w:ascii="宋体" w:hAnsi="宋体" w:eastAsia="宋体" w:cs="宋体"/>
          <w:color w:val="auto"/>
          <w:kern w:val="0"/>
          <w:sz w:val="27"/>
          <w:szCs w:val="27"/>
          <w:lang w:val="en-US" w:eastAsia="zh-CN" w:bidi="ar"/>
        </w:rPr>
        <w:t>贯彻落实水土保持法，建立健全水土保持法律法规体系和制度。市、县级政府要结合地区实际，完善配套规章和规范性文件的修订工作。经济社会发展和生产建设活动要严格执行水土保持有关法律法规。要落实基础设施建设、矿产资源开发、城镇建设、公共服务设施建设等规划的水土保持要求和措施。</w:t>
      </w:r>
    </w:p>
    <w:p w14:paraId="5275E82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（4）改革水土保持政府投资管理模式，减少中间环节，提高投资使用效益，调动广大农民群众参与水土流失治理的积极性和主动性。</w:t>
      </w:r>
    </w:p>
    <w:p w14:paraId="31A2E28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（5）完善各级人民政府水土保持目标责任制和考核奖惩制度。对在水土流失预防、治理、监测、监督管理等方面作出突出贡献的予以激励。</w:t>
      </w:r>
    </w:p>
    <w:p w14:paraId="7E276075">
      <w:pPr>
        <w:pStyle w:val="7"/>
        <w:bidi w:val="0"/>
        <w:rPr>
          <w:rFonts w:hint="default" w:ascii="黑体" w:hAnsi="黑体" w:eastAsia="黑体" w:cs="黑体"/>
          <w:color w:val="auto"/>
          <w:sz w:val="32"/>
          <w:szCs w:val="32"/>
          <w:lang w:val="en-US" w:eastAsia="zh-CN"/>
        </w:rPr>
      </w:pPr>
      <w:bookmarkStart w:id="296" w:name="_Toc767"/>
      <w:bookmarkStart w:id="297" w:name="_Toc22474"/>
      <w:bookmarkStart w:id="298" w:name="_Toc375908195"/>
      <w:bookmarkStart w:id="299" w:name="_Toc404983427"/>
      <w:bookmarkStart w:id="300" w:name="_Toc406692606"/>
      <w:r>
        <w:rPr>
          <w:rFonts w:hint="eastAsia" w:ascii="黑体" w:hAnsi="黑体" w:eastAsia="黑体" w:cs="黑体"/>
          <w:color w:val="auto"/>
          <w:sz w:val="32"/>
          <w:szCs w:val="32"/>
          <w:lang w:val="en-US" w:eastAsia="zh-CN"/>
        </w:rPr>
        <w:t>三、</w:t>
      </w:r>
      <w:bookmarkEnd w:id="296"/>
      <w:r>
        <w:rPr>
          <w:rFonts w:hint="eastAsia" w:ascii="黑体" w:hAnsi="黑体" w:eastAsia="黑体" w:cs="黑体"/>
          <w:color w:val="auto"/>
          <w:sz w:val="32"/>
          <w:szCs w:val="32"/>
          <w:lang w:val="en-US" w:eastAsia="zh-CN"/>
        </w:rPr>
        <w:t>加大投入力度</w:t>
      </w:r>
      <w:bookmarkEnd w:id="297"/>
    </w:p>
    <w:p w14:paraId="67F6019F">
      <w:pPr>
        <w:ind w:firstLine="700" w:firstLineChars="250"/>
        <w:rPr>
          <w:rFonts w:hint="default"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建立多渠道多元化的投入机制，统筹各相关规划水土保持任务和资金投入，做好水土保持专项资金的使用管理。积极申请国家补助，地方各级财政资金向重点地区倾斜，确保资金投入与重点建设，加大资金投入力度。创新投资融资机制，鼓励、引导和吸引社会资金以PPP等形式参与水土流失治理，推动重点任务和工程落实。完善社会激励机制，鼓励和引导民间资本参与水土保持工程建设，切实保障治理开发者的合法权益，并按规定在资金、技术、税收等方面予以扶持。规范水土保持资金使用管理，建立水土保持专帐、配套专门的财务人员负责到位资金的管理与使用，做到专款专用。培育和完善水土保持社会化服务体系，大力推动政府购买服务。</w:t>
      </w:r>
    </w:p>
    <w:p w14:paraId="74F65C79">
      <w:pPr>
        <w:pStyle w:val="7"/>
        <w:bidi w:val="0"/>
        <w:rPr>
          <w:rFonts w:hint="default" w:ascii="黑体" w:hAnsi="黑体" w:eastAsia="黑体" w:cs="黑体"/>
          <w:color w:val="auto"/>
          <w:sz w:val="32"/>
          <w:szCs w:val="32"/>
          <w:lang w:val="en-US" w:eastAsia="zh-CN"/>
        </w:rPr>
      </w:pPr>
      <w:bookmarkStart w:id="301" w:name="_Toc21473"/>
      <w:bookmarkStart w:id="302" w:name="_Toc27286"/>
      <w:r>
        <w:rPr>
          <w:rFonts w:hint="eastAsia" w:ascii="黑体" w:hAnsi="黑体" w:eastAsia="黑体" w:cs="黑体"/>
          <w:color w:val="auto"/>
          <w:sz w:val="32"/>
          <w:szCs w:val="32"/>
          <w:lang w:val="en-US" w:eastAsia="zh-CN"/>
        </w:rPr>
        <w:t>四、依靠科技进步</w:t>
      </w:r>
      <w:bookmarkEnd w:id="301"/>
      <w:bookmarkEnd w:id="302"/>
    </w:p>
    <w:bookmarkEnd w:id="298"/>
    <w:bookmarkEnd w:id="299"/>
    <w:bookmarkEnd w:id="300"/>
    <w:p w14:paraId="1C0366B8">
      <w:pPr>
        <w:pStyle w:val="12"/>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hAnsi="宋体"/>
          <w:color w:val="auto"/>
          <w:sz w:val="28"/>
          <w:szCs w:val="28"/>
          <w:lang w:val="en-US" w:eastAsia="zh-CN"/>
        </w:rPr>
      </w:pPr>
      <w:bookmarkStart w:id="303" w:name="_Toc375908197"/>
      <w:bookmarkStart w:id="304" w:name="_Toc727"/>
      <w:bookmarkStart w:id="305" w:name="_Toc439060163"/>
      <w:bookmarkStart w:id="306" w:name="_Toc406692608"/>
      <w:bookmarkStart w:id="307" w:name="_Toc66042943"/>
      <w:bookmarkStart w:id="308" w:name="_Toc23979"/>
      <w:bookmarkStart w:id="309" w:name="_Toc404983429"/>
      <w:r>
        <w:rPr>
          <w:rFonts w:hint="eastAsia" w:hAnsi="宋体"/>
          <w:color w:val="auto"/>
          <w:sz w:val="28"/>
          <w:szCs w:val="28"/>
          <w:lang w:val="en-US" w:eastAsia="zh-CN"/>
        </w:rPr>
        <w:t>各级政府要重视水土保持科技工作，支持水土保持学科发展和产学研体系建设，强化技术培训和人才培养，围绕水土流失机理、防控原理和技术、动态监测技术、信息化技术等方面的应用基础研究，组织科技攻关，支持科技创新。不断加大水土保持科技投入力度，在水土保持项目经费中，确定一定比例的资金用于技术示范与推广，提高治理项目的科技含量和水平。加强交流与合作，引进和推广国内外先进技术。</w:t>
      </w:r>
    </w:p>
    <w:p w14:paraId="1485938C">
      <w:pPr>
        <w:pStyle w:val="7"/>
        <w:bidi w:val="0"/>
        <w:rPr>
          <w:rFonts w:hint="eastAsia" w:ascii="黑体" w:hAnsi="黑体" w:eastAsia="黑体" w:cs="黑体"/>
          <w:color w:val="auto"/>
          <w:sz w:val="32"/>
          <w:szCs w:val="32"/>
          <w:lang w:val="en-US" w:eastAsia="zh-CN"/>
        </w:rPr>
      </w:pPr>
      <w:bookmarkStart w:id="310" w:name="_Toc24110"/>
      <w:bookmarkStart w:id="311" w:name="_Toc32540"/>
      <w:r>
        <w:rPr>
          <w:rFonts w:hint="eastAsia" w:ascii="黑体" w:hAnsi="黑体" w:eastAsia="黑体" w:cs="黑体"/>
          <w:color w:val="auto"/>
          <w:sz w:val="32"/>
          <w:szCs w:val="32"/>
          <w:lang w:val="en-US" w:eastAsia="zh-CN"/>
        </w:rPr>
        <w:t>五、增强全民参与</w:t>
      </w:r>
      <w:bookmarkEnd w:id="303"/>
      <w:bookmarkEnd w:id="304"/>
      <w:bookmarkEnd w:id="305"/>
      <w:bookmarkEnd w:id="306"/>
      <w:bookmarkEnd w:id="307"/>
      <w:bookmarkEnd w:id="308"/>
      <w:bookmarkEnd w:id="309"/>
      <w:bookmarkEnd w:id="310"/>
      <w:bookmarkEnd w:id="311"/>
    </w:p>
    <w:p w14:paraId="4CC8C1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（1）采取多种形式，广泛、深入、持久地开展水土保持宣传，大力营造防治水土流失人人有责、合理利用水土资源的氛围。继续推动水土保持国策宣传教育进党校。</w:t>
      </w:r>
    </w:p>
    <w:p w14:paraId="0402BA5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napToGrid w:val="0"/>
          <w:color w:val="auto"/>
          <w:sz w:val="28"/>
          <w:szCs w:val="28"/>
          <w:lang w:val="en-US" w:eastAsia="zh-CN"/>
        </w:rPr>
      </w:pPr>
      <w:r>
        <w:rPr>
          <w:rFonts w:hint="eastAsia" w:ascii="Times New Roman" w:hAnsi="Times New Roman" w:eastAsia="宋体" w:cs="Times New Roman"/>
          <w:snapToGrid w:val="0"/>
          <w:color w:val="auto"/>
          <w:sz w:val="28"/>
          <w:szCs w:val="28"/>
          <w:lang w:val="en-US" w:eastAsia="zh-CN"/>
        </w:rPr>
        <w:t>（2）加大科普教育的投入，结合水土保持工程建设，建设一定数量的水土保持科普教育基地。充分结合已建成和规划的</w:t>
      </w:r>
      <w:r>
        <w:rPr>
          <w:rFonts w:hint="eastAsia" w:ascii="Times New Roman" w:hAnsi="Times New Roman" w:cs="Times New Roman"/>
          <w:color w:val="auto"/>
          <w:spacing w:val="8"/>
          <w:sz w:val="28"/>
          <w:szCs w:val="28"/>
          <w:lang w:val="en-US" w:eastAsia="zh-CN"/>
        </w:rPr>
        <w:t>水土保持科技示范园，推广水土保持治理带来的社会、生态和经济效益</w:t>
      </w:r>
      <w:r>
        <w:rPr>
          <w:rFonts w:hint="eastAsia" w:ascii="Times New Roman" w:hAnsi="Times New Roman" w:eastAsia="宋体" w:cs="Times New Roman"/>
          <w:snapToGrid w:val="0"/>
          <w:color w:val="auto"/>
          <w:sz w:val="28"/>
          <w:szCs w:val="28"/>
          <w:lang w:val="en-US" w:eastAsia="zh-CN"/>
        </w:rPr>
        <w:t>。把水土保持科普宣传贯穿到整个义务教育阶段，提高全社会的水土保持生态文明意识。</w:t>
      </w:r>
    </w:p>
    <w:p w14:paraId="085D00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napToGrid w:val="0"/>
          <w:color w:val="auto"/>
          <w:lang w:val="en-US" w:eastAsia="zh-CN"/>
        </w:rPr>
      </w:pPr>
      <w:r>
        <w:rPr>
          <w:rFonts w:hint="eastAsia" w:ascii="Times New Roman" w:hAnsi="Times New Roman" w:eastAsia="宋体" w:cs="Times New Roman"/>
          <w:snapToGrid w:val="0"/>
          <w:color w:val="auto"/>
          <w:sz w:val="28"/>
          <w:szCs w:val="28"/>
          <w:lang w:val="en-US" w:eastAsia="zh-CN"/>
        </w:rPr>
        <w:t>（3）建立水土保持公众参与平台和网络交流机制，增强网络技术服务和信息发布功能，满足公众提交建议、举报水土保持违法事件的需要，提高全社会参与水平，增加公众的参与度。</w:t>
      </w:r>
      <w:bookmarkEnd w:id="293"/>
    </w:p>
    <w:p w14:paraId="240113A7">
      <w:pPr>
        <w:pStyle w:val="18"/>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宋体" w:cs="Times New Roman"/>
          <w:snapToGrid w:val="0"/>
          <w:color w:val="auto"/>
          <w:sz w:val="28"/>
          <w:szCs w:val="28"/>
          <w:lang w:val="en-US" w:eastAsia="zh-CN"/>
        </w:rPr>
      </w:pPr>
    </w:p>
    <w:p w14:paraId="3F720161">
      <w:pPr>
        <w:rPr>
          <w:color w:val="auto"/>
        </w:rPr>
      </w:pPr>
    </w:p>
    <w:sectPr>
      <w:headerReference r:id="rId3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3DA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95C43">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E95C43">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AED03">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C9697">
                          <w:pPr>
                            <w:pStyle w:val="5"/>
                            <w:rPr>
                              <w:rFonts w:hint="default" w:ascii="Times New Roman" w:hAnsi="Times New Roman" w:cs="Times New Roman"/>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AAC9697">
                    <w:pPr>
                      <w:pStyle w:val="5"/>
                      <w:rPr>
                        <w:rFonts w:hint="default" w:ascii="Times New Roman" w:hAnsi="Times New Roman" w:cs="Times New Roman"/>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FAFAE">
    <w:pPr>
      <w:pStyle w:val="5"/>
      <w:jc w:val="center"/>
    </w:pPr>
    <w:r>
      <w:fldChar w:fldCharType="begin"/>
    </w:r>
    <w:r>
      <w:instrText xml:space="preserve">PAGE   \* MERGEFORMAT</w:instrText>
    </w:r>
    <w:r>
      <w:fldChar w:fldCharType="separate"/>
    </w:r>
    <w:r>
      <w:rPr>
        <w:lang w:val="zh-CN"/>
      </w:rPr>
      <w:t>127</w:t>
    </w:r>
    <w:r>
      <w:rPr>
        <w:lang w:val="zh-CN"/>
      </w:rPr>
      <w:fldChar w:fldCharType="end"/>
    </w:r>
  </w:p>
  <w:p w14:paraId="653D4B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191A">
    <w:pPr>
      <w:pStyle w:val="5"/>
      <w:jc w:val="center"/>
    </w:pPr>
    <w:r>
      <w:fldChar w:fldCharType="begin"/>
    </w:r>
    <w:r>
      <w:instrText xml:space="preserve">PAGE   \* MERGEFORMAT</w:instrText>
    </w:r>
    <w:r>
      <w:fldChar w:fldCharType="separate"/>
    </w:r>
    <w:r>
      <w:rPr>
        <w:lang w:val="zh-CN"/>
      </w:rPr>
      <w:t>127</w:t>
    </w:r>
    <w:r>
      <w:rPr>
        <w:lang w:val="zh-CN"/>
      </w:rPr>
      <w:fldChar w:fldCharType="end"/>
    </w:r>
  </w:p>
  <w:p w14:paraId="6052F0D6">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E945">
    <w:pPr>
      <w:pStyle w:val="5"/>
      <w:jc w:val="center"/>
    </w:pPr>
    <w:r>
      <w:fldChar w:fldCharType="begin"/>
    </w:r>
    <w:r>
      <w:instrText xml:space="preserve">PAGE   \* MERGEFORMAT</w:instrText>
    </w:r>
    <w:r>
      <w:fldChar w:fldCharType="separate"/>
    </w:r>
    <w:r>
      <w:rPr>
        <w:lang w:val="zh-CN"/>
      </w:rPr>
      <w:t>127</w:t>
    </w:r>
    <w:r>
      <w:rPr>
        <w:lang w:val="zh-CN"/>
      </w:rPr>
      <w:fldChar w:fldCharType="end"/>
    </w:r>
  </w:p>
  <w:p w14:paraId="6A9AD027">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32344">
    <w:pPr>
      <w:pStyle w:val="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5AC8C">
                          <w:pPr>
                            <w:pStyle w:val="5"/>
                            <w:jc w:val="center"/>
                          </w:pPr>
                          <w:r>
                            <w:fldChar w:fldCharType="begin"/>
                          </w:r>
                          <w:r>
                            <w:instrText xml:space="preserve">PAGE   \* MERGEFORMAT</w:instrText>
                          </w:r>
                          <w:r>
                            <w:fldChar w:fldCharType="separate"/>
                          </w:r>
                          <w:r>
                            <w:rPr>
                              <w:lang w:val="zh-CN"/>
                            </w:rPr>
                            <w:t>127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55AC8C">
                    <w:pPr>
                      <w:pStyle w:val="5"/>
                      <w:jc w:val="center"/>
                    </w:pPr>
                    <w:r>
                      <w:fldChar w:fldCharType="begin"/>
                    </w:r>
                    <w:r>
                      <w:instrText xml:space="preserve">PAGE   \* MERGEFORMAT</w:instrText>
                    </w:r>
                    <w:r>
                      <w:fldChar w:fldCharType="separate"/>
                    </w:r>
                    <w:r>
                      <w:rPr>
                        <w:lang w:val="zh-CN"/>
                      </w:rPr>
                      <w:t>127</w:t>
                    </w:r>
                    <w:r>
                      <w:rPr>
                        <w:lang w:val="zh-CN"/>
                      </w:rPr>
                      <w:fldChar w:fldCharType="end"/>
                    </w:r>
                  </w:p>
                </w:txbxContent>
              </v:textbox>
            </v:shape>
          </w:pict>
        </mc:Fallback>
      </mc:AlternateContent>
    </w:r>
  </w:p>
  <w:p w14:paraId="1BDC407B">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FB5B">
    <w:pPr>
      <w:pStyle w:val="5"/>
      <w:jc w:val="center"/>
    </w:pPr>
    <w:r>
      <w:fldChar w:fldCharType="begin"/>
    </w:r>
    <w:r>
      <w:instrText xml:space="preserve">PAGE   \* MERGEFORMAT</w:instrText>
    </w:r>
    <w:r>
      <w:fldChar w:fldCharType="separate"/>
    </w:r>
    <w:r>
      <w:rPr>
        <w:lang w:val="zh-CN"/>
      </w:rPr>
      <w:t>127</w:t>
    </w:r>
    <w:r>
      <w:rPr>
        <w:lang w:val="zh-CN"/>
      </w:rPr>
      <w:fldChar w:fldCharType="end"/>
    </w:r>
  </w:p>
  <w:p w14:paraId="4E4490B1">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200E">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14:paraId="790CA722">
      <w:pPr>
        <w:pStyle w:val="15"/>
        <w:adjustRightInd w:val="0"/>
        <w:spacing w:line="240" w:lineRule="atLeast"/>
        <w:rPr>
          <w:rFonts w:hint="eastAsia" w:ascii="Times New Roman" w:hAnsi="Times New Roman" w:cs="Times New Roman" w:eastAsiaTheme="minorEastAsia"/>
          <w:lang w:eastAsia="zh-CN"/>
        </w:rPr>
      </w:pPr>
      <w:r>
        <w:rPr>
          <w:rStyle w:val="22"/>
          <w:rFonts w:ascii="Times New Roman" w:hAnsi="Times New Roman" w:eastAsia="宋体" w:cs="Times New Roman"/>
        </w:rPr>
        <w:t>[</w:t>
      </w:r>
      <w:r>
        <w:rPr>
          <w:rStyle w:val="22"/>
          <w:rFonts w:ascii="Times New Roman" w:hAnsi="Times New Roman" w:eastAsia="宋体" w:cs="Times New Roman"/>
        </w:rPr>
        <w:footnoteRef/>
      </w:r>
      <w:r>
        <w:rPr>
          <w:rStyle w:val="22"/>
          <w:rFonts w:ascii="Times New Roman" w:hAnsi="Times New Roman" w:eastAsia="宋体" w:cs="Times New Roman"/>
        </w:rPr>
        <w:t>]</w:t>
      </w:r>
      <w:r>
        <w:rPr>
          <w:rFonts w:hint="eastAsia" w:ascii="Times New Roman" w:hAnsi="Times New Roman" w:eastAsia="宋体" w:cs="Times New Roman"/>
        </w:rPr>
        <w:t xml:space="preserve"> </w:t>
      </w:r>
      <w:r>
        <w:rPr>
          <w:rFonts w:ascii="Times New Roman" w:hAnsi="Times New Roman" w:cs="Times New Roman"/>
        </w:rPr>
        <w:t>贵州省主体功能区规划</w:t>
      </w:r>
      <w:r>
        <w:rPr>
          <w:rFonts w:hint="eastAsia" w:ascii="Times New Roman" w:hAnsi="Times New Roman" w:cs="Times New Roman"/>
          <w:lang w:eastAsia="zh-CN"/>
        </w:rPr>
        <w:t>；</w:t>
      </w:r>
    </w:p>
  </w:footnote>
  <w:footnote w:id="1">
    <w:p w14:paraId="250CB873">
      <w:pPr>
        <w:pStyle w:val="15"/>
        <w:adjustRightInd w:val="0"/>
        <w:spacing w:line="240" w:lineRule="atLeast"/>
        <w:rPr>
          <w:rFonts w:ascii="Times New Roman" w:hAnsi="Times New Roman" w:eastAsia="宋体" w:cs="Times New Roman"/>
          <w:vertAlign w:val="superscript"/>
        </w:rPr>
      </w:pPr>
      <w:r>
        <w:rPr>
          <w:rStyle w:val="22"/>
          <w:rFonts w:ascii="Times New Roman" w:hAnsi="Times New Roman" w:eastAsia="宋体" w:cs="Times New Roman"/>
        </w:rPr>
        <w:t>[</w:t>
      </w:r>
      <w:r>
        <w:rPr>
          <w:rStyle w:val="22"/>
          <w:rFonts w:ascii="Times New Roman" w:hAnsi="Times New Roman" w:eastAsia="宋体" w:cs="Times New Roman"/>
        </w:rPr>
        <w:footnoteRef/>
      </w:r>
      <w:r>
        <w:rPr>
          <w:rStyle w:val="22"/>
          <w:rFonts w:ascii="Times New Roman" w:hAnsi="Times New Roman" w:eastAsia="宋体" w:cs="Times New Roman"/>
        </w:rPr>
        <w:t>]</w:t>
      </w:r>
      <w:r>
        <w:rPr>
          <w:rFonts w:ascii="Times New Roman" w:hAnsi="Times New Roman" w:eastAsia="宋体" w:cs="Times New Roman"/>
        </w:rPr>
        <w:t xml:space="preserve"> 2019年贵州省水资源公报；</w:t>
      </w:r>
    </w:p>
  </w:footnote>
  <w:footnote w:id="2">
    <w:p w14:paraId="5B7EDD61">
      <w:pPr>
        <w:pStyle w:val="15"/>
        <w:rPr>
          <w:rFonts w:ascii="Times New Roman" w:hAnsi="Times New Roman" w:eastAsia="宋体" w:cs="Times New Roman"/>
        </w:rPr>
      </w:pPr>
      <w:r>
        <w:rPr>
          <w:rStyle w:val="22"/>
          <w:rFonts w:ascii="Times New Roman" w:hAnsi="Times New Roman" w:eastAsia="宋体" w:cs="Times New Roman"/>
        </w:rPr>
        <w:t>[</w:t>
      </w:r>
      <w:r>
        <w:rPr>
          <w:rStyle w:val="22"/>
          <w:rFonts w:ascii="Times New Roman" w:hAnsi="Times New Roman" w:eastAsia="宋体" w:cs="Times New Roman"/>
        </w:rPr>
        <w:footnoteRef/>
      </w:r>
      <w:r>
        <w:rPr>
          <w:rStyle w:val="22"/>
          <w:rFonts w:ascii="Times New Roman" w:hAnsi="Times New Roman" w:eastAsia="宋体" w:cs="Times New Roman"/>
        </w:rPr>
        <w:t>]</w:t>
      </w:r>
      <w:r>
        <w:rPr>
          <w:rFonts w:ascii="Times New Roman" w:hAnsi="Times New Roman" w:eastAsia="宋体" w:cs="Times New Roman"/>
        </w:rPr>
        <w:t xml:space="preserve"> 贵州省水利建设三年攻坚行动方案（2021—2023年）。</w:t>
      </w:r>
    </w:p>
  </w:footnote>
  <w:footnote w:id="3">
    <w:p w14:paraId="71CEFF41">
      <w:pPr>
        <w:pStyle w:val="15"/>
        <w:rPr>
          <w:rFonts w:ascii="Times New Roman" w:hAnsi="Times New Roman" w:eastAsia="宋体" w:cs="Times New Roman"/>
        </w:rPr>
      </w:pPr>
      <w:r>
        <w:rPr>
          <w:rStyle w:val="22"/>
          <w:rFonts w:ascii="Times New Roman" w:hAnsi="Times New Roman" w:eastAsia="宋体" w:cs="Times New Roman"/>
        </w:rPr>
        <w:t>[</w:t>
      </w:r>
      <w:r>
        <w:rPr>
          <w:rStyle w:val="22"/>
          <w:rFonts w:ascii="Times New Roman" w:hAnsi="Times New Roman" w:eastAsia="宋体" w:cs="Times New Roman"/>
        </w:rPr>
        <w:footnoteRef/>
      </w:r>
      <w:r>
        <w:rPr>
          <w:rStyle w:val="22"/>
          <w:rFonts w:ascii="Times New Roman" w:hAnsi="Times New Roman" w:eastAsia="宋体" w:cs="Times New Roman"/>
        </w:rPr>
        <w:t>]</w:t>
      </w:r>
      <w:r>
        <w:rPr>
          <w:rFonts w:ascii="Times New Roman" w:hAnsi="Times New Roman" w:eastAsia="宋体" w:cs="Times New Roman"/>
        </w:rPr>
        <w:t xml:space="preserve"> 贵州省“十四五”林业草原保护发展规划</w:t>
      </w:r>
    </w:p>
  </w:footnote>
  <w:footnote w:id="4">
    <w:p w14:paraId="5AF61B77">
      <w:pPr>
        <w:pStyle w:val="15"/>
        <w:rPr>
          <w:rFonts w:ascii="Times New Roman" w:hAnsi="Times New Roman" w:cs="Times New Roman"/>
        </w:rPr>
      </w:pPr>
      <w:r>
        <w:rPr>
          <w:rStyle w:val="22"/>
          <w:rFonts w:ascii="Times New Roman" w:hAnsi="Times New Roman" w:cs="Times New Roman"/>
        </w:rPr>
        <w:t>[</w:t>
      </w:r>
      <w:r>
        <w:rPr>
          <w:rStyle w:val="22"/>
          <w:rFonts w:ascii="Times New Roman" w:hAnsi="Times New Roman" w:cs="Times New Roman"/>
        </w:rPr>
        <w:footnoteRef/>
      </w:r>
      <w:r>
        <w:rPr>
          <w:rStyle w:val="22"/>
          <w:rFonts w:ascii="Times New Roman" w:hAnsi="Times New Roman" w:cs="Times New Roman"/>
        </w:rPr>
        <w:t>]</w:t>
      </w:r>
      <w:r>
        <w:rPr>
          <w:rFonts w:ascii="Times New Roman" w:hAnsi="Times New Roman" w:cs="Times New Roman"/>
        </w:rPr>
        <w:t xml:space="preserve"> 贵州省2020年国民经济和社会发展统计公报</w:t>
      </w:r>
    </w:p>
  </w:footnote>
  <w:footnote w:id="5">
    <w:p w14:paraId="5DF4762A">
      <w:pPr>
        <w:pStyle w:val="15"/>
        <w:rPr>
          <w:rFonts w:ascii="Times New Roman" w:hAnsi="Times New Roman" w:cs="Times New Roman"/>
        </w:rPr>
      </w:pPr>
      <w:r>
        <w:rPr>
          <w:rStyle w:val="22"/>
          <w:rFonts w:ascii="Times New Roman" w:hAnsi="Times New Roman" w:cs="Times New Roman"/>
        </w:rPr>
        <w:t>[</w:t>
      </w:r>
      <w:r>
        <w:rPr>
          <w:rStyle w:val="22"/>
          <w:rFonts w:ascii="Times New Roman" w:hAnsi="Times New Roman" w:cs="Times New Roman"/>
        </w:rPr>
        <w:footnoteRef/>
      </w:r>
      <w:r>
        <w:rPr>
          <w:rStyle w:val="22"/>
          <w:rFonts w:ascii="Times New Roman" w:hAnsi="Times New Roman" w:cs="Times New Roman"/>
        </w:rPr>
        <w:t>]</w:t>
      </w:r>
      <w:r>
        <w:rPr>
          <w:rFonts w:ascii="Times New Roman" w:hAnsi="Times New Roman" w:cs="Times New Roman"/>
        </w:rPr>
        <w:t xml:space="preserve"> 贵州省交通运输统计摘要（</w:t>
      </w:r>
      <w:r>
        <w:rPr>
          <w:rFonts w:hint="eastAsia" w:ascii="Times New Roman" w:hAnsi="Times New Roman" w:cs="Times New Roman"/>
        </w:rPr>
        <w:t>1949-2020年</w:t>
      </w:r>
      <w:r>
        <w:rPr>
          <w:rFonts w:ascii="Times New Roman" w:hAnsi="Times New Roman" w:cs="Times New Roman"/>
        </w:rPr>
        <w:t>）</w:t>
      </w:r>
    </w:p>
  </w:footnote>
  <w:footnote w:id="6">
    <w:p w14:paraId="1C5AA6D5">
      <w:pPr>
        <w:pStyle w:val="15"/>
        <w:snapToGrid/>
        <w:spacing w:line="288" w:lineRule="auto"/>
      </w:pPr>
      <w:r>
        <w:rPr>
          <w:rStyle w:val="22"/>
        </w:rPr>
        <w:t>[</w:t>
      </w:r>
      <w:r>
        <w:rPr>
          <w:rStyle w:val="22"/>
        </w:rPr>
        <w:footnoteRef/>
      </w:r>
      <w:r>
        <w:rPr>
          <w:rStyle w:val="22"/>
        </w:rPr>
        <w:t>]</w:t>
      </w:r>
      <w:r>
        <w:rPr>
          <w:rFonts w:hint="eastAsia"/>
        </w:rPr>
        <w:t xml:space="preserve"> 2</w:t>
      </w:r>
      <w:r>
        <w:rPr>
          <w:rFonts w:hint="eastAsia"/>
          <w:lang w:val="en-US" w:eastAsia="zh-CN"/>
        </w:rPr>
        <w:t>020</w:t>
      </w:r>
      <w:r>
        <w:rPr>
          <w:rFonts w:hint="eastAsia"/>
        </w:rPr>
        <w:t>年贵州省国土变更调查数据</w:t>
      </w:r>
    </w:p>
  </w:footnote>
  <w:footnote w:id="7">
    <w:p w14:paraId="793D2850">
      <w:pPr>
        <w:pStyle w:val="15"/>
      </w:pPr>
      <w:r>
        <w:rPr>
          <w:rStyle w:val="22"/>
        </w:rPr>
        <w:t>[</w:t>
      </w:r>
      <w:r>
        <w:rPr>
          <w:rStyle w:val="22"/>
        </w:rPr>
        <w:footnoteRef/>
      </w:r>
      <w:r>
        <w:rPr>
          <w:rStyle w:val="22"/>
        </w:rPr>
        <w:t>]</w:t>
      </w:r>
      <w:r>
        <w:t xml:space="preserve"> </w:t>
      </w:r>
      <w:r>
        <w:rPr>
          <w:rFonts w:hint="eastAsia"/>
        </w:rPr>
        <w:t>贵州省水土保持公告（</w:t>
      </w:r>
      <w:r>
        <w:rPr>
          <w:rFonts w:ascii="Times New Roman" w:hAnsi="Times New Roman" w:cs="Times New Roman"/>
        </w:rPr>
        <w:t>2016～2020</w:t>
      </w:r>
      <w:r>
        <w:rPr>
          <w:rFonts w:hint="eastAsia"/>
        </w:rPr>
        <w:t>）</w:t>
      </w:r>
    </w:p>
  </w:footnote>
  <w:footnote w:id="8">
    <w:p w14:paraId="78120DB9">
      <w:pPr>
        <w:pStyle w:val="15"/>
        <w:snapToGrid w:val="0"/>
        <w:rPr>
          <w:rFonts w:hint="default" w:ascii="Times New Roman" w:hAnsi="Times New Roman" w:eastAsia="宋体" w:cs="Times New Roman"/>
          <w:sz w:val="18"/>
          <w:szCs w:val="18"/>
          <w:lang w:val="en-US" w:eastAsia="zh-CN"/>
        </w:rPr>
      </w:pPr>
      <w:r>
        <w:rPr>
          <w:rStyle w:val="22"/>
          <w:rFonts w:hint="default" w:ascii="Times New Roman" w:hAnsi="Times New Roman" w:eastAsia="宋体" w:cs="Times New Roman"/>
          <w:sz w:val="18"/>
          <w:szCs w:val="18"/>
        </w:rPr>
        <w:t>[</w:t>
      </w:r>
      <w:r>
        <w:rPr>
          <w:rStyle w:val="22"/>
          <w:rFonts w:hint="default" w:ascii="Times New Roman" w:hAnsi="Times New Roman" w:eastAsia="宋体" w:cs="Times New Roman"/>
          <w:sz w:val="18"/>
          <w:szCs w:val="18"/>
        </w:rPr>
        <w:footnoteRef/>
      </w:r>
      <w:r>
        <w:rPr>
          <w:rStyle w:val="22"/>
          <w:rFonts w:hint="default" w:ascii="Times New Roman" w:hAnsi="Times New Roman" w:eastAsia="宋体" w:cs="Times New Roman"/>
          <w:sz w:val="18"/>
          <w:szCs w:val="18"/>
        </w:rPr>
        <w:t>]</w:t>
      </w:r>
      <w:r>
        <w:rPr>
          <w:rFonts w:hint="default" w:ascii="Times New Roman" w:hAnsi="Times New Roman" w:eastAsia="宋体" w:cs="Times New Roman"/>
          <w:sz w:val="18"/>
          <w:szCs w:val="18"/>
        </w:rPr>
        <w:t xml:space="preserve"> </w:t>
      </w:r>
      <w:r>
        <w:rPr>
          <w:rFonts w:hint="default" w:ascii="Times New Roman" w:hAnsi="Times New Roman" w:eastAsia="宋体" w:cs="Times New Roman"/>
          <w:sz w:val="18"/>
          <w:szCs w:val="18"/>
          <w:lang w:val="en-US" w:eastAsia="zh-CN"/>
        </w:rPr>
        <w:t>数据来源于各部门收集，其他指括其他部门和社会治理；</w:t>
      </w:r>
    </w:p>
  </w:footnote>
  <w:footnote w:id="9">
    <w:p w14:paraId="7ABE04CF">
      <w:pPr>
        <w:pStyle w:val="15"/>
        <w:snapToGrid w:val="0"/>
        <w:rPr>
          <w:rFonts w:hint="default" w:ascii="Times New Roman" w:hAnsi="Times New Roman" w:eastAsia="宋体" w:cs="Times New Roman"/>
          <w:sz w:val="18"/>
          <w:szCs w:val="18"/>
          <w:lang w:val="en-US" w:eastAsia="zh-CN"/>
        </w:rPr>
      </w:pPr>
      <w:r>
        <w:rPr>
          <w:rStyle w:val="22"/>
          <w:rFonts w:hint="default" w:ascii="Times New Roman" w:hAnsi="Times New Roman" w:eastAsia="宋体" w:cs="Times New Roman"/>
          <w:sz w:val="18"/>
          <w:szCs w:val="18"/>
        </w:rPr>
        <w:t>[</w:t>
      </w:r>
      <w:r>
        <w:rPr>
          <w:rStyle w:val="22"/>
          <w:rFonts w:hint="default" w:ascii="Times New Roman" w:hAnsi="Times New Roman" w:eastAsia="宋体" w:cs="Times New Roman"/>
          <w:sz w:val="18"/>
          <w:szCs w:val="18"/>
        </w:rPr>
        <w:footnoteRef/>
      </w:r>
      <w:r>
        <w:rPr>
          <w:rStyle w:val="22"/>
          <w:rFonts w:hint="default" w:ascii="Times New Roman" w:hAnsi="Times New Roman" w:eastAsia="宋体" w:cs="Times New Roman"/>
          <w:sz w:val="18"/>
          <w:szCs w:val="18"/>
        </w:rPr>
        <w:t>]</w:t>
      </w:r>
      <w:r>
        <w:rPr>
          <w:rFonts w:hint="default" w:ascii="Times New Roman" w:hAnsi="Times New Roman" w:eastAsia="宋体" w:cs="Times New Roman"/>
          <w:sz w:val="18"/>
          <w:szCs w:val="18"/>
        </w:rPr>
        <w:t xml:space="preserve"> </w:t>
      </w:r>
      <w:r>
        <w:rPr>
          <w:rFonts w:hint="default" w:ascii="Times New Roman" w:hAnsi="Times New Roman" w:eastAsia="宋体" w:cs="Times New Roman"/>
          <w:sz w:val="18"/>
          <w:szCs w:val="18"/>
          <w:lang w:val="en-US" w:eastAsia="zh-CN"/>
        </w:rPr>
        <w:t>水土保持率数据来源于《贵州省各市县区水土保持率远期及分阶段目标值分析确认报告》。</w:t>
      </w:r>
    </w:p>
  </w:footnote>
  <w:footnote w:id="10">
    <w:p w14:paraId="0E2A2CC8">
      <w:pPr>
        <w:pStyle w:val="15"/>
        <w:spacing w:after="0" w:line="240" w:lineRule="atLeast"/>
        <w:rPr>
          <w:rFonts w:asciiTheme="minorEastAsia" w:hAnsiTheme="minorEastAsia" w:eastAsiaTheme="minorEastAsia"/>
          <w:sz w:val="18"/>
          <w:szCs w:val="18"/>
          <w:lang w:eastAsia="zh-CN"/>
        </w:rPr>
      </w:pPr>
      <w:r>
        <w:rPr>
          <w:rStyle w:val="22"/>
          <w:rFonts w:hint="default" w:ascii="Times New Roman" w:hAnsi="Times New Roman" w:eastAsia="宋体" w:cs="Times New Roman"/>
          <w:sz w:val="18"/>
          <w:szCs w:val="18"/>
          <w:lang w:eastAsia="zh-CN"/>
        </w:rPr>
        <w:t>[</w:t>
      </w:r>
      <w:r>
        <w:rPr>
          <w:rStyle w:val="22"/>
          <w:rFonts w:hint="default" w:ascii="Times New Roman" w:hAnsi="Times New Roman" w:eastAsia="宋体" w:cs="Times New Roman"/>
          <w:sz w:val="18"/>
          <w:szCs w:val="18"/>
          <w:lang w:eastAsia="zh-CN"/>
        </w:rPr>
        <w:footnoteRef/>
      </w:r>
      <w:r>
        <w:rPr>
          <w:rStyle w:val="22"/>
          <w:rFonts w:hint="default" w:ascii="Times New Roman" w:hAnsi="Times New Roman" w:eastAsia="宋体" w:cs="Times New Roman"/>
          <w:sz w:val="18"/>
          <w:szCs w:val="18"/>
          <w:lang w:eastAsia="zh-CN"/>
        </w:rPr>
        <w:t>]</w:t>
      </w:r>
      <w:r>
        <w:rPr>
          <w:rFonts w:hint="eastAsia" w:asciiTheme="minorEastAsia" w:hAnsiTheme="minorEastAsia"/>
          <w:sz w:val="18"/>
          <w:szCs w:val="18"/>
          <w:vertAlign w:val="superscript"/>
          <w:lang w:val="en-US" w:eastAsia="zh-CN"/>
        </w:rPr>
        <w:t xml:space="preserve"> </w:t>
      </w:r>
      <w:r>
        <w:rPr>
          <w:rFonts w:hint="eastAsia" w:asciiTheme="minorEastAsia" w:hAnsiTheme="minorEastAsia" w:eastAsiaTheme="minorEastAsia"/>
          <w:sz w:val="18"/>
          <w:szCs w:val="18"/>
          <w:lang w:eastAsia="zh-CN"/>
        </w:rPr>
        <w:t>《贵州省201</w:t>
      </w:r>
      <w:r>
        <w:rPr>
          <w:rFonts w:hint="eastAsia" w:asciiTheme="minorEastAsia" w:hAnsiTheme="minorEastAsia"/>
          <w:sz w:val="18"/>
          <w:szCs w:val="18"/>
          <w:lang w:val="en-US" w:eastAsia="zh-CN"/>
        </w:rPr>
        <w:t>9</w:t>
      </w:r>
      <w:r>
        <w:rPr>
          <w:rFonts w:hint="eastAsia" w:asciiTheme="minorEastAsia" w:hAnsiTheme="minorEastAsia" w:eastAsiaTheme="minorEastAsia"/>
          <w:sz w:val="18"/>
          <w:szCs w:val="18"/>
          <w:lang w:eastAsia="zh-CN"/>
        </w:rPr>
        <w:t>年水资源公报》，贵州省水利厅；</w:t>
      </w:r>
    </w:p>
  </w:footnote>
  <w:footnote w:id="11">
    <w:p w14:paraId="2D26D78C">
      <w:pPr>
        <w:pStyle w:val="15"/>
        <w:snapToGrid w:val="0"/>
        <w:rPr>
          <w:rFonts w:hint="default" w:ascii="Times New Roman" w:hAnsi="Times New Roman" w:eastAsia="宋体" w:cs="Times New Roman"/>
          <w:sz w:val="18"/>
          <w:szCs w:val="18"/>
        </w:rPr>
      </w:pPr>
      <w:r>
        <w:rPr>
          <w:rStyle w:val="22"/>
          <w:rFonts w:hint="default" w:ascii="Times New Roman" w:hAnsi="Times New Roman" w:eastAsia="宋体" w:cs="Times New Roman"/>
          <w:sz w:val="18"/>
          <w:szCs w:val="18"/>
        </w:rPr>
        <w:t>[</w:t>
      </w:r>
      <w:r>
        <w:rPr>
          <w:rStyle w:val="22"/>
          <w:rFonts w:hint="default" w:ascii="Times New Roman" w:hAnsi="Times New Roman" w:eastAsia="宋体" w:cs="Times New Roman"/>
          <w:sz w:val="18"/>
          <w:szCs w:val="18"/>
        </w:rPr>
        <w:footnoteRef/>
      </w:r>
      <w:r>
        <w:rPr>
          <w:rStyle w:val="22"/>
          <w:rFonts w:hint="default" w:ascii="Times New Roman" w:hAnsi="Times New Roman" w:eastAsia="宋体" w:cs="Times New Roman"/>
          <w:sz w:val="18"/>
          <w:szCs w:val="18"/>
        </w:rPr>
        <w:t>]</w:t>
      </w:r>
      <w:r>
        <w:rPr>
          <w:rStyle w:val="22"/>
          <w:rFonts w:hint="eastAsia" w:ascii="Times New Roman" w:hAnsi="Times New Roman" w:eastAsia="宋体" w:cs="Times New Roman"/>
          <w:sz w:val="18"/>
          <w:szCs w:val="18"/>
          <w:lang w:eastAsia="zh-CN"/>
        </w:rPr>
        <w:t>、</w:t>
      </w:r>
      <w:r>
        <w:rPr>
          <w:rStyle w:val="22"/>
          <w:rFonts w:hint="default" w:ascii="Times New Roman" w:hAnsi="Times New Roman" w:eastAsia="宋体" w:cs="Times New Roman"/>
          <w:sz w:val="18"/>
          <w:szCs w:val="18"/>
        </w:rPr>
        <w:t>[</w:t>
      </w:r>
      <w:r>
        <w:rPr>
          <w:rStyle w:val="22"/>
          <w:rFonts w:hint="eastAsia" w:ascii="Times New Roman" w:hAnsi="Times New Roman" w:eastAsia="宋体" w:cs="Times New Roman"/>
          <w:sz w:val="18"/>
          <w:szCs w:val="18"/>
          <w:lang w:val="en-US" w:eastAsia="zh-CN"/>
        </w:rPr>
        <w:t>13</w:t>
      </w:r>
      <w:r>
        <w:rPr>
          <w:rStyle w:val="22"/>
          <w:rFonts w:hint="default"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贵州省集中式饮用水源保护区一源一档，贵州省生态环境厅</w:t>
      </w:r>
      <w:r>
        <w:rPr>
          <w:rFonts w:hint="default" w:ascii="Times New Roman" w:hAnsi="Times New Roman" w:eastAsia="宋体" w:cs="Times New Roman"/>
          <w:sz w:val="18"/>
          <w:szCs w:val="18"/>
          <w:lang w:eastAsia="zh-CN"/>
        </w:rPr>
        <w:t>；</w:t>
      </w:r>
    </w:p>
  </w:footnote>
  <w:footnote w:id="12">
    <w:p w14:paraId="50A28848">
      <w:pPr>
        <w:pStyle w:val="15"/>
        <w:snapToGrid w:val="0"/>
        <w:rPr>
          <w:rFonts w:hint="default" w:ascii="Times New Roman" w:hAnsi="Times New Roman" w:eastAsia="宋体" w:cs="Times New Roman"/>
          <w:sz w:val="18"/>
          <w:szCs w:val="18"/>
        </w:rPr>
      </w:pPr>
      <w:r>
        <w:rPr>
          <w:rStyle w:val="22"/>
          <w:rFonts w:hint="default" w:ascii="Times New Roman" w:hAnsi="Times New Roman" w:eastAsia="宋体" w:cs="Times New Roman"/>
          <w:sz w:val="18"/>
          <w:szCs w:val="18"/>
        </w:rPr>
        <w:t>[</w:t>
      </w:r>
      <w:r>
        <w:rPr>
          <w:rStyle w:val="22"/>
          <w:rFonts w:hint="eastAsia" w:ascii="Times New Roman" w:hAnsi="Times New Roman" w:eastAsia="宋体" w:cs="Times New Roman"/>
          <w:sz w:val="18"/>
          <w:szCs w:val="18"/>
          <w:lang w:val="en-US" w:eastAsia="zh-CN"/>
        </w:rPr>
        <w:t>14</w:t>
      </w:r>
      <w:r>
        <w:rPr>
          <w:rStyle w:val="22"/>
          <w:rFonts w:hint="default" w:ascii="Times New Roman" w:hAnsi="Times New Roman" w:eastAsia="宋体" w:cs="Times New Roman"/>
          <w:sz w:val="18"/>
          <w:szCs w:val="18"/>
        </w:rPr>
        <w:t xml:space="preserve">] </w:t>
      </w:r>
      <w:r>
        <w:rPr>
          <w:rFonts w:hint="default" w:ascii="Times New Roman" w:hAnsi="Times New Roman" w:eastAsia="宋体" w:cs="Times New Roman"/>
          <w:sz w:val="18"/>
          <w:szCs w:val="18"/>
          <w:lang w:eastAsia="zh-CN"/>
        </w:rPr>
        <w:t>贵州省主体功能区规划。</w:t>
      </w:r>
    </w:p>
  </w:footnote>
  <w:footnote w:id="13">
    <w:p w14:paraId="04D9D67F">
      <w:pPr>
        <w:pStyle w:val="15"/>
        <w:snapToGrid w:val="0"/>
        <w:rPr>
          <w:rFonts w:hint="default" w:ascii="Times New Roman" w:hAnsi="Times New Roman" w:eastAsia="宋体" w:cs="Times New Roman"/>
          <w:sz w:val="18"/>
          <w:szCs w:val="18"/>
        </w:rPr>
      </w:pPr>
    </w:p>
  </w:footnote>
  <w:footnote w:id="14">
    <w:p w14:paraId="0D2F04F3">
      <w:pPr>
        <w:pStyle w:val="15"/>
        <w:rPr>
          <w:rFonts w:ascii="宋体" w:hAnsi="宋体" w:eastAsia="宋体" w:cs="宋体"/>
        </w:rPr>
      </w:pPr>
      <w:r>
        <w:rPr>
          <w:rStyle w:val="22"/>
          <w:rFonts w:hint="eastAsia" w:ascii="宋体" w:hAnsi="宋体" w:eastAsia="宋体" w:cs="宋体"/>
        </w:rPr>
        <w:t>[</w:t>
      </w:r>
      <w:r>
        <w:rPr>
          <w:rStyle w:val="22"/>
          <w:rFonts w:hint="eastAsia" w:ascii="宋体" w:hAnsi="宋体" w:eastAsia="宋体" w:cs="宋体"/>
        </w:rPr>
        <w:footnoteRef/>
      </w:r>
      <w:r>
        <w:rPr>
          <w:rStyle w:val="22"/>
          <w:rFonts w:hint="eastAsia" w:ascii="宋体" w:hAnsi="宋体" w:eastAsia="宋体" w:cs="宋体"/>
        </w:rPr>
        <w:t>]</w:t>
      </w:r>
      <w:r>
        <w:rPr>
          <w:rFonts w:hint="eastAsia" w:ascii="宋体" w:hAnsi="宋体" w:eastAsia="宋体" w:cs="宋体"/>
        </w:rPr>
        <w:t xml:space="preserve"> 《贵州省水土保持科技示范园发展规划（2020—2030年）》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EB46">
    <w:pPr>
      <w:pStyle w:val="13"/>
      <w:pBdr>
        <w:bottom w:val="single" w:color="auto" w:sz="4" w:space="1"/>
      </w:pBdr>
      <w:jc w:val="cente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目录</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0A37">
    <w:pPr>
      <w:pStyle w:val="13"/>
      <w:pBdr>
        <w:bottom w:val="single" w:color="auto" w:sz="4" w:space="1"/>
      </w:pBdr>
      <w:jc w:val="cente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第七章 水土保持监测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3CD72">
    <w:pPr>
      <w:pStyle w:val="13"/>
      <w:pBdr>
        <w:bottom w:val="single" w:color="auto" w:sz="4" w:space="1"/>
      </w:pBdr>
      <w:jc w:val="cente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第七章 水土保持监测</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B5406">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第八章 信息化建设</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511F">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第九章 科技支撑和能力建设</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0A094">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第十章 投资匡算</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30D8">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第十章 投资匡算</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824F8">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第十章 投资匡算</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56F5">
    <w:pPr>
      <w:pStyle w:val="13"/>
      <w:pBdr>
        <w:bottom w:val="single" w:color="auto" w:sz="4" w:space="1"/>
      </w:pBdr>
      <w:jc w:val="center"/>
      <w:rPr>
        <w:rFonts w:hint="default"/>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第十一章 工程效益分析</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69DE4">
    <w:pPr>
      <w:pBdr>
        <w:bottom w:val="none" w:color="auto" w:sz="0" w:space="0"/>
      </w:pBdr>
      <w:rPr>
        <w:rFonts w:hint="default"/>
        <w:lang w:val="en-US" w:eastAsia="zh-CN"/>
      </w:rPr>
    </w:pPr>
    <w:r>
      <w:rPr>
        <w:rFonts w:hint="default"/>
      </w:rPr>
      <w:t>贵州省</w:t>
    </w:r>
    <w:r>
      <w:rPr>
        <w:rFonts w:hint="default"/>
        <w:lang w:val="en-US" w:eastAsia="zh-CN"/>
      </w:rPr>
      <w:t>水土保持</w:t>
    </w:r>
    <w:r>
      <w:rPr>
        <w:rFonts w:hint="eastAsia"/>
        <w:lang w:eastAsia="zh-CN"/>
      </w:rPr>
      <w:t>“十四五”规划</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default"/>
      </w:rPr>
      <w:t xml:space="preserve">  </w:t>
    </w:r>
    <w:r>
      <w:rPr>
        <w:rFonts w:hint="eastAsia"/>
        <w:lang w:val="en-US" w:eastAsia="zh-CN"/>
      </w:rPr>
      <w:t>11</w:t>
    </w:r>
    <w:r>
      <w:rPr>
        <w:rFonts w:hint="default"/>
      </w:rPr>
      <w:t>.</w:t>
    </w:r>
    <w:r>
      <w:rPr>
        <w:rFonts w:hint="eastAsia"/>
        <w:lang w:val="en-US" w:eastAsia="zh-CN"/>
      </w:rPr>
      <w:t>实施效果分析</w:t>
    </w:r>
  </w:p>
  <w:p w14:paraId="43C2E91B">
    <w:pPr>
      <w:pStyle w:val="13"/>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99FF">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第十二章 实施保障措施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5751">
    <w:pPr>
      <w:pStyle w:val="13"/>
      <w:pBdr>
        <w:bottom w:val="single" w:color="auto" w:sz="4" w:space="1"/>
      </w:pBdr>
      <w:jc w:val="cente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前言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0C30">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第一章 基本情况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6A92">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第二章 现状评价及需求分析</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287EE">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第三章 总体要求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20AF8">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第四章 水土流失预防</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418F">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第五章 水土流失治理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FDFA">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第六章 水土保持监督管理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B59B">
    <w:pPr>
      <w:pStyle w:val="13"/>
      <w:pBdr>
        <w:bottom w:val="single" w:color="auto" w:sz="4" w:space="1"/>
      </w:pBdr>
      <w:jc w:val="center"/>
      <w:rPr>
        <w:rFonts w:hint="default" w:ascii="Times New Roman" w:hAnsi="Times New Roman" w:eastAsia="宋体" w:cs="Times New Roman"/>
        <w:sz w:val="21"/>
        <w:szCs w:val="21"/>
        <w:lang w:val="en-US" w:eastAsia="zh-CN"/>
      </w:rPr>
    </w:pPr>
    <w:r>
      <w:rPr>
        <w:rStyle w:val="21"/>
        <w:rFonts w:hint="default" w:ascii="Times New Roman" w:hAnsi="Times New Roman" w:eastAsia="宋体" w:cs="Times New Roman"/>
        <w:bCs/>
        <w:iCs/>
        <w:sz w:val="21"/>
        <w:szCs w:val="21"/>
      </w:rPr>
      <w:t>贵州省</w:t>
    </w:r>
    <w:r>
      <w:rPr>
        <w:rStyle w:val="21"/>
        <w:rFonts w:hint="default" w:ascii="Times New Roman" w:hAnsi="Times New Roman" w:eastAsia="宋体" w:cs="Times New Roman"/>
        <w:bCs/>
        <w:iCs/>
        <w:sz w:val="21"/>
        <w:szCs w:val="21"/>
        <w:lang w:val="en-US" w:eastAsia="zh-CN"/>
      </w:rPr>
      <w:t>水土保持</w:t>
    </w:r>
    <w:r>
      <w:rPr>
        <w:rStyle w:val="21"/>
        <w:rFonts w:hint="default" w:ascii="Times New Roman" w:hAnsi="Times New Roman" w:eastAsia="宋体" w:cs="Times New Roman"/>
        <w:bCs/>
        <w:iCs/>
        <w:sz w:val="21"/>
        <w:szCs w:val="21"/>
      </w:rPr>
      <w:t>“十四五”规划</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 xml:space="preserve">  </w:t>
    </w:r>
    <w:r>
      <w:rPr>
        <w:rStyle w:val="21"/>
        <w:rFonts w:hint="default" w:ascii="Times New Roman" w:hAnsi="Times New Roman" w:eastAsia="宋体" w:cs="Times New Roman"/>
        <w:bCs/>
        <w:iCs/>
        <w:sz w:val="21"/>
        <w:szCs w:val="21"/>
        <w:lang w:val="en-US" w:eastAsia="zh-CN"/>
      </w:rPr>
      <w:t xml:space="preserve"> </w:t>
    </w:r>
    <w:r>
      <w:rPr>
        <w:rStyle w:val="21"/>
        <w:rFonts w:hint="eastAsia" w:ascii="Times New Roman" w:hAnsi="Times New Roman" w:eastAsia="宋体" w:cs="Times New Roman"/>
        <w:bCs/>
        <w:iCs/>
        <w:sz w:val="21"/>
        <w:szCs w:val="21"/>
        <w:lang w:val="en-US" w:eastAsia="zh-CN"/>
      </w:rPr>
      <w:t>第七章 水土保持监测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FF1C2"/>
    <w:multiLevelType w:val="singleLevel"/>
    <w:tmpl w:val="DF2FF1C2"/>
    <w:lvl w:ilvl="0" w:tentative="0">
      <w:start w:val="1"/>
      <w:numFmt w:val="decimal"/>
      <w:suff w:val="nothing"/>
      <w:lvlText w:val="（%1）"/>
      <w:lvlJc w:val="left"/>
    </w:lvl>
  </w:abstractNum>
  <w:abstractNum w:abstractNumId="1">
    <w:nsid w:val="75859ABD"/>
    <w:multiLevelType w:val="singleLevel"/>
    <w:tmpl w:val="75859ABD"/>
    <w:lvl w:ilvl="0" w:tentative="0">
      <w:start w:val="1"/>
      <w:numFmt w:val="decimal"/>
      <w:suff w:val="nothing"/>
      <w:lvlText w:val="（%1）"/>
      <w:lvlJc w:val="left"/>
    </w:lvl>
  </w:abstractNum>
  <w:abstractNum w:abstractNumId="2">
    <w:nsid w:val="76486C6E"/>
    <w:multiLevelType w:val="singleLevel"/>
    <w:tmpl w:val="76486C6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30"/>
    <w:footnote w:id="3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jNhZjY3ZmEyNmQxOWNlZWRjZThkOTk3MzhkN2IifQ=="/>
  </w:docVars>
  <w:rsids>
    <w:rsidRoot w:val="00000000"/>
    <w:rsid w:val="009D7561"/>
    <w:rsid w:val="00B317BD"/>
    <w:rsid w:val="01911C36"/>
    <w:rsid w:val="01A73A52"/>
    <w:rsid w:val="01AA7BE9"/>
    <w:rsid w:val="01DB573C"/>
    <w:rsid w:val="01E13B0E"/>
    <w:rsid w:val="027F3089"/>
    <w:rsid w:val="02DB38E0"/>
    <w:rsid w:val="03606F16"/>
    <w:rsid w:val="036A681C"/>
    <w:rsid w:val="039135C3"/>
    <w:rsid w:val="03D2318A"/>
    <w:rsid w:val="03F435C8"/>
    <w:rsid w:val="04814D63"/>
    <w:rsid w:val="04AC6135"/>
    <w:rsid w:val="04E61B5C"/>
    <w:rsid w:val="050818D2"/>
    <w:rsid w:val="050A7143"/>
    <w:rsid w:val="05513747"/>
    <w:rsid w:val="05610E93"/>
    <w:rsid w:val="057960C3"/>
    <w:rsid w:val="05F4513A"/>
    <w:rsid w:val="063876A4"/>
    <w:rsid w:val="06A31DF0"/>
    <w:rsid w:val="06DF67FD"/>
    <w:rsid w:val="075367FF"/>
    <w:rsid w:val="07E80111"/>
    <w:rsid w:val="08102521"/>
    <w:rsid w:val="090360D7"/>
    <w:rsid w:val="090D12BC"/>
    <w:rsid w:val="092D7C87"/>
    <w:rsid w:val="0964451D"/>
    <w:rsid w:val="099241F4"/>
    <w:rsid w:val="09F55B85"/>
    <w:rsid w:val="09F623DA"/>
    <w:rsid w:val="0A181001"/>
    <w:rsid w:val="0A841331"/>
    <w:rsid w:val="0ACD44CD"/>
    <w:rsid w:val="0ADF20B2"/>
    <w:rsid w:val="0AE44DD0"/>
    <w:rsid w:val="0AF065B3"/>
    <w:rsid w:val="0BA03AE7"/>
    <w:rsid w:val="0BE3331C"/>
    <w:rsid w:val="0BE65D99"/>
    <w:rsid w:val="0C26791E"/>
    <w:rsid w:val="0CF33DFF"/>
    <w:rsid w:val="0D3A1F53"/>
    <w:rsid w:val="0DD30DE4"/>
    <w:rsid w:val="0E195140"/>
    <w:rsid w:val="0F0020F0"/>
    <w:rsid w:val="0F090C27"/>
    <w:rsid w:val="0F3623B9"/>
    <w:rsid w:val="0FBA381F"/>
    <w:rsid w:val="10B84498"/>
    <w:rsid w:val="1126707D"/>
    <w:rsid w:val="11305D31"/>
    <w:rsid w:val="11500150"/>
    <w:rsid w:val="1164759D"/>
    <w:rsid w:val="11954F74"/>
    <w:rsid w:val="11BD0702"/>
    <w:rsid w:val="12185194"/>
    <w:rsid w:val="12661A3D"/>
    <w:rsid w:val="12A1224D"/>
    <w:rsid w:val="12AF2AA6"/>
    <w:rsid w:val="136470A1"/>
    <w:rsid w:val="13AD1A1B"/>
    <w:rsid w:val="13B50C5B"/>
    <w:rsid w:val="15AC7D42"/>
    <w:rsid w:val="16327B69"/>
    <w:rsid w:val="164D0F49"/>
    <w:rsid w:val="167458C2"/>
    <w:rsid w:val="16782538"/>
    <w:rsid w:val="169E17DC"/>
    <w:rsid w:val="16A917CF"/>
    <w:rsid w:val="17572B9B"/>
    <w:rsid w:val="1A304E0A"/>
    <w:rsid w:val="1A3348FA"/>
    <w:rsid w:val="1A35265A"/>
    <w:rsid w:val="1AC859C7"/>
    <w:rsid w:val="1AE641A2"/>
    <w:rsid w:val="1AF93DF1"/>
    <w:rsid w:val="1B3C0685"/>
    <w:rsid w:val="1BB67591"/>
    <w:rsid w:val="1C00442F"/>
    <w:rsid w:val="1C7C522C"/>
    <w:rsid w:val="1D466F18"/>
    <w:rsid w:val="1D4D766D"/>
    <w:rsid w:val="1D573978"/>
    <w:rsid w:val="1D8125D2"/>
    <w:rsid w:val="1D9A5C15"/>
    <w:rsid w:val="1DE403E2"/>
    <w:rsid w:val="1DEA26A4"/>
    <w:rsid w:val="1E14372A"/>
    <w:rsid w:val="1E2838E6"/>
    <w:rsid w:val="1E671786"/>
    <w:rsid w:val="1E6750EF"/>
    <w:rsid w:val="1EF06916"/>
    <w:rsid w:val="1F0A1E54"/>
    <w:rsid w:val="1F6A07F3"/>
    <w:rsid w:val="1F912ED9"/>
    <w:rsid w:val="204C65F0"/>
    <w:rsid w:val="207F7C0E"/>
    <w:rsid w:val="208A4B48"/>
    <w:rsid w:val="215A2274"/>
    <w:rsid w:val="21862AA1"/>
    <w:rsid w:val="223A2AB6"/>
    <w:rsid w:val="2248751F"/>
    <w:rsid w:val="22767C40"/>
    <w:rsid w:val="22A65A23"/>
    <w:rsid w:val="22F8641A"/>
    <w:rsid w:val="235F353B"/>
    <w:rsid w:val="23772D0A"/>
    <w:rsid w:val="2425685A"/>
    <w:rsid w:val="24543F59"/>
    <w:rsid w:val="24E862E1"/>
    <w:rsid w:val="251A2772"/>
    <w:rsid w:val="2587009C"/>
    <w:rsid w:val="26107139"/>
    <w:rsid w:val="26220E5B"/>
    <w:rsid w:val="262F2132"/>
    <w:rsid w:val="26D3301F"/>
    <w:rsid w:val="28E9056A"/>
    <w:rsid w:val="28EB2670"/>
    <w:rsid w:val="28FF3788"/>
    <w:rsid w:val="29684B9B"/>
    <w:rsid w:val="29D149BC"/>
    <w:rsid w:val="29D86924"/>
    <w:rsid w:val="29FF715B"/>
    <w:rsid w:val="2A51564A"/>
    <w:rsid w:val="2B40299A"/>
    <w:rsid w:val="2B681617"/>
    <w:rsid w:val="2BF417FD"/>
    <w:rsid w:val="2C132BA1"/>
    <w:rsid w:val="2C332538"/>
    <w:rsid w:val="2C612B18"/>
    <w:rsid w:val="2CB371D5"/>
    <w:rsid w:val="2CE53E34"/>
    <w:rsid w:val="2D200015"/>
    <w:rsid w:val="2D9E2F47"/>
    <w:rsid w:val="2EC053E2"/>
    <w:rsid w:val="2EFD6799"/>
    <w:rsid w:val="2FDF5C0F"/>
    <w:rsid w:val="2FF62085"/>
    <w:rsid w:val="2FF651A9"/>
    <w:rsid w:val="308E5F8F"/>
    <w:rsid w:val="30F25F90"/>
    <w:rsid w:val="31EC7791"/>
    <w:rsid w:val="32A71A48"/>
    <w:rsid w:val="330B7B68"/>
    <w:rsid w:val="33163FA5"/>
    <w:rsid w:val="337360DD"/>
    <w:rsid w:val="338D6B36"/>
    <w:rsid w:val="33A10040"/>
    <w:rsid w:val="33FA168F"/>
    <w:rsid w:val="34563CEC"/>
    <w:rsid w:val="350B163F"/>
    <w:rsid w:val="35406124"/>
    <w:rsid w:val="35571154"/>
    <w:rsid w:val="35DA286A"/>
    <w:rsid w:val="36231F2E"/>
    <w:rsid w:val="3644441B"/>
    <w:rsid w:val="383946DC"/>
    <w:rsid w:val="38E452E6"/>
    <w:rsid w:val="38EA4355"/>
    <w:rsid w:val="39805321"/>
    <w:rsid w:val="3995079E"/>
    <w:rsid w:val="399B6884"/>
    <w:rsid w:val="39B9785F"/>
    <w:rsid w:val="39DC3C0B"/>
    <w:rsid w:val="3A40531D"/>
    <w:rsid w:val="3B165083"/>
    <w:rsid w:val="3D5F2656"/>
    <w:rsid w:val="3D833E79"/>
    <w:rsid w:val="3DC2371B"/>
    <w:rsid w:val="3DDC2A2F"/>
    <w:rsid w:val="3E0B6E71"/>
    <w:rsid w:val="3E9A1FA2"/>
    <w:rsid w:val="3EA6303D"/>
    <w:rsid w:val="3EE268FA"/>
    <w:rsid w:val="3F497E6F"/>
    <w:rsid w:val="3F691C43"/>
    <w:rsid w:val="3F721331"/>
    <w:rsid w:val="3FAF5C7D"/>
    <w:rsid w:val="40807EEA"/>
    <w:rsid w:val="41055998"/>
    <w:rsid w:val="41345BAB"/>
    <w:rsid w:val="419B38CA"/>
    <w:rsid w:val="42605808"/>
    <w:rsid w:val="427F607F"/>
    <w:rsid w:val="42885319"/>
    <w:rsid w:val="42A37446"/>
    <w:rsid w:val="430B011E"/>
    <w:rsid w:val="43466822"/>
    <w:rsid w:val="438052C6"/>
    <w:rsid w:val="43C87D8A"/>
    <w:rsid w:val="43E92D22"/>
    <w:rsid w:val="4479751F"/>
    <w:rsid w:val="453F3793"/>
    <w:rsid w:val="462929CF"/>
    <w:rsid w:val="46333543"/>
    <w:rsid w:val="465E7412"/>
    <w:rsid w:val="472B4C36"/>
    <w:rsid w:val="477922BC"/>
    <w:rsid w:val="47994122"/>
    <w:rsid w:val="48607EF5"/>
    <w:rsid w:val="48DB0DA9"/>
    <w:rsid w:val="491325C4"/>
    <w:rsid w:val="49252DD2"/>
    <w:rsid w:val="49422C92"/>
    <w:rsid w:val="49985138"/>
    <w:rsid w:val="49AC08AD"/>
    <w:rsid w:val="4A455F42"/>
    <w:rsid w:val="4AFB201B"/>
    <w:rsid w:val="4BB52448"/>
    <w:rsid w:val="4BBA525B"/>
    <w:rsid w:val="4BBF74EC"/>
    <w:rsid w:val="4BCB5C47"/>
    <w:rsid w:val="4C165235"/>
    <w:rsid w:val="4C323042"/>
    <w:rsid w:val="4C924891"/>
    <w:rsid w:val="4C957EA2"/>
    <w:rsid w:val="4CC94FBD"/>
    <w:rsid w:val="4D201F23"/>
    <w:rsid w:val="4D5522B4"/>
    <w:rsid w:val="4DA7660E"/>
    <w:rsid w:val="4DD9024F"/>
    <w:rsid w:val="4E127DC1"/>
    <w:rsid w:val="4E360917"/>
    <w:rsid w:val="4E543EE3"/>
    <w:rsid w:val="4E6479A6"/>
    <w:rsid w:val="4E840283"/>
    <w:rsid w:val="4EDB7498"/>
    <w:rsid w:val="4EF63CB7"/>
    <w:rsid w:val="4F4E7D00"/>
    <w:rsid w:val="4F7F321A"/>
    <w:rsid w:val="4F9D33AA"/>
    <w:rsid w:val="4FA407B6"/>
    <w:rsid w:val="4FC6687C"/>
    <w:rsid w:val="505F69DA"/>
    <w:rsid w:val="50B36D95"/>
    <w:rsid w:val="510833D4"/>
    <w:rsid w:val="515B7CB7"/>
    <w:rsid w:val="515E55D7"/>
    <w:rsid w:val="51622DF4"/>
    <w:rsid w:val="520C125C"/>
    <w:rsid w:val="528C6BAE"/>
    <w:rsid w:val="531E691A"/>
    <w:rsid w:val="53E70319"/>
    <w:rsid w:val="544B4013"/>
    <w:rsid w:val="547167E6"/>
    <w:rsid w:val="54BF44F0"/>
    <w:rsid w:val="54D0033E"/>
    <w:rsid w:val="54EF0E42"/>
    <w:rsid w:val="55364B90"/>
    <w:rsid w:val="560C1A89"/>
    <w:rsid w:val="56424FA2"/>
    <w:rsid w:val="56813FCD"/>
    <w:rsid w:val="568C3304"/>
    <w:rsid w:val="56900DF0"/>
    <w:rsid w:val="56987959"/>
    <w:rsid w:val="56F73E49"/>
    <w:rsid w:val="57131A7C"/>
    <w:rsid w:val="575336BD"/>
    <w:rsid w:val="575E139D"/>
    <w:rsid w:val="583152CE"/>
    <w:rsid w:val="58860FA2"/>
    <w:rsid w:val="5A251925"/>
    <w:rsid w:val="5A2C1B4A"/>
    <w:rsid w:val="5A513A05"/>
    <w:rsid w:val="5A663852"/>
    <w:rsid w:val="5A7F7364"/>
    <w:rsid w:val="5A8F7755"/>
    <w:rsid w:val="5AB13BD1"/>
    <w:rsid w:val="5AD22D88"/>
    <w:rsid w:val="5ADA795F"/>
    <w:rsid w:val="5B637E94"/>
    <w:rsid w:val="5B89381E"/>
    <w:rsid w:val="5BC964B6"/>
    <w:rsid w:val="5C592465"/>
    <w:rsid w:val="5CF00CBB"/>
    <w:rsid w:val="5D4D2BAA"/>
    <w:rsid w:val="5D5C4B9B"/>
    <w:rsid w:val="5D66733F"/>
    <w:rsid w:val="5DAC6249"/>
    <w:rsid w:val="5DDB4B89"/>
    <w:rsid w:val="5DF247AE"/>
    <w:rsid w:val="5E047B55"/>
    <w:rsid w:val="5E3E3755"/>
    <w:rsid w:val="5E9D4C47"/>
    <w:rsid w:val="5F715F24"/>
    <w:rsid w:val="5FDA05B0"/>
    <w:rsid w:val="60B579D5"/>
    <w:rsid w:val="60CF1B28"/>
    <w:rsid w:val="610E58EB"/>
    <w:rsid w:val="6147655D"/>
    <w:rsid w:val="617D3D87"/>
    <w:rsid w:val="61812C3A"/>
    <w:rsid w:val="61F935E1"/>
    <w:rsid w:val="620A1241"/>
    <w:rsid w:val="624266CA"/>
    <w:rsid w:val="626F711E"/>
    <w:rsid w:val="62911344"/>
    <w:rsid w:val="62EC5863"/>
    <w:rsid w:val="632A368E"/>
    <w:rsid w:val="63B84A53"/>
    <w:rsid w:val="63CC38A7"/>
    <w:rsid w:val="63F86224"/>
    <w:rsid w:val="643549F7"/>
    <w:rsid w:val="6478761B"/>
    <w:rsid w:val="64A010A4"/>
    <w:rsid w:val="65932007"/>
    <w:rsid w:val="661C39E3"/>
    <w:rsid w:val="66B5602F"/>
    <w:rsid w:val="66D734E4"/>
    <w:rsid w:val="67061813"/>
    <w:rsid w:val="670E75F1"/>
    <w:rsid w:val="6733037B"/>
    <w:rsid w:val="67631BAC"/>
    <w:rsid w:val="677409B9"/>
    <w:rsid w:val="67AD0EC8"/>
    <w:rsid w:val="67EF617F"/>
    <w:rsid w:val="680079B2"/>
    <w:rsid w:val="68247837"/>
    <w:rsid w:val="68260326"/>
    <w:rsid w:val="6855418F"/>
    <w:rsid w:val="68D03EA7"/>
    <w:rsid w:val="68D926B6"/>
    <w:rsid w:val="69E12AEC"/>
    <w:rsid w:val="6A3F0360"/>
    <w:rsid w:val="6B9341F9"/>
    <w:rsid w:val="6CA04EA5"/>
    <w:rsid w:val="6CB20D97"/>
    <w:rsid w:val="6D4A1D11"/>
    <w:rsid w:val="6E05397C"/>
    <w:rsid w:val="6E0E152F"/>
    <w:rsid w:val="6E3F4B4C"/>
    <w:rsid w:val="6E553EB1"/>
    <w:rsid w:val="6E58730E"/>
    <w:rsid w:val="6EC00635"/>
    <w:rsid w:val="6EF47329"/>
    <w:rsid w:val="6F5B602F"/>
    <w:rsid w:val="6F65145F"/>
    <w:rsid w:val="6F8B7C47"/>
    <w:rsid w:val="6F9C279B"/>
    <w:rsid w:val="6FAC6DBB"/>
    <w:rsid w:val="70B614CE"/>
    <w:rsid w:val="70DA6E13"/>
    <w:rsid w:val="70F93BA6"/>
    <w:rsid w:val="71545246"/>
    <w:rsid w:val="715C0189"/>
    <w:rsid w:val="71700864"/>
    <w:rsid w:val="71A3634C"/>
    <w:rsid w:val="71EC42E8"/>
    <w:rsid w:val="71F732D8"/>
    <w:rsid w:val="724B1321"/>
    <w:rsid w:val="72800A8F"/>
    <w:rsid w:val="72FF7676"/>
    <w:rsid w:val="74DF5312"/>
    <w:rsid w:val="74F963F6"/>
    <w:rsid w:val="75213D37"/>
    <w:rsid w:val="75343952"/>
    <w:rsid w:val="75571641"/>
    <w:rsid w:val="75935D10"/>
    <w:rsid w:val="76766876"/>
    <w:rsid w:val="76F80F63"/>
    <w:rsid w:val="77141512"/>
    <w:rsid w:val="771E02F9"/>
    <w:rsid w:val="77447B38"/>
    <w:rsid w:val="77543FEE"/>
    <w:rsid w:val="77604842"/>
    <w:rsid w:val="77914777"/>
    <w:rsid w:val="77ED6DAA"/>
    <w:rsid w:val="77F12248"/>
    <w:rsid w:val="781A0EFF"/>
    <w:rsid w:val="781B3762"/>
    <w:rsid w:val="78650950"/>
    <w:rsid w:val="78716EB3"/>
    <w:rsid w:val="78C40D45"/>
    <w:rsid w:val="78C86639"/>
    <w:rsid w:val="78FD648C"/>
    <w:rsid w:val="79046783"/>
    <w:rsid w:val="795E40AC"/>
    <w:rsid w:val="795F1843"/>
    <w:rsid w:val="79753CD1"/>
    <w:rsid w:val="79AD230D"/>
    <w:rsid w:val="79DE6B0A"/>
    <w:rsid w:val="7A266805"/>
    <w:rsid w:val="7A663DAC"/>
    <w:rsid w:val="7A692283"/>
    <w:rsid w:val="7A7D5483"/>
    <w:rsid w:val="7B69033F"/>
    <w:rsid w:val="7B8F4CE8"/>
    <w:rsid w:val="7BD676E0"/>
    <w:rsid w:val="7C1054AD"/>
    <w:rsid w:val="7CCC5441"/>
    <w:rsid w:val="7D9C2578"/>
    <w:rsid w:val="7DA479E9"/>
    <w:rsid w:val="7DD252D0"/>
    <w:rsid w:val="7DE3766A"/>
    <w:rsid w:val="7DFF3C27"/>
    <w:rsid w:val="7E1F377D"/>
    <w:rsid w:val="7EAB0CC6"/>
    <w:rsid w:val="7EF10E29"/>
    <w:rsid w:val="7F914F94"/>
    <w:rsid w:val="7F932247"/>
    <w:rsid w:val="7F9D640E"/>
    <w:rsid w:val="7FB147AC"/>
    <w:rsid w:val="7FB90B7B"/>
    <w:rsid w:val="7FEC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qFormat/>
    <w:uiPriority w:val="0"/>
    <w:pPr>
      <w:spacing w:before="140" w:after="70"/>
      <w:jc w:val="left"/>
      <w:outlineLvl w:val="1"/>
    </w:pPr>
    <w:rPr>
      <w:b/>
      <w:snapToGrid w:val="0"/>
      <w:sz w:val="32"/>
    </w:rPr>
  </w:style>
  <w:style w:type="paragraph" w:styleId="8">
    <w:name w:val="heading 3"/>
    <w:basedOn w:val="1"/>
    <w:next w:val="9"/>
    <w:qFormat/>
    <w:uiPriority w:val="0"/>
    <w:pPr>
      <w:keepNext/>
      <w:keepLines/>
      <w:spacing w:before="260" w:beforeLines="0" w:after="260" w:afterLines="0" w:line="413" w:lineRule="auto"/>
      <w:outlineLvl w:val="2"/>
    </w:pPr>
    <w:rPr>
      <w:b/>
      <w:bCs/>
      <w:sz w:val="32"/>
      <w:szCs w:val="32"/>
    </w:rPr>
  </w:style>
  <w:style w:type="paragraph" w:styleId="10">
    <w:name w:val="heading 4"/>
    <w:basedOn w:val="1"/>
    <w:next w:val="1"/>
    <w:qFormat/>
    <w:uiPriority w:val="0"/>
    <w:pPr>
      <w:ind w:firstLine="420" w:firstLineChars="200"/>
      <w:jc w:val="left"/>
      <w:outlineLvl w:val="3"/>
    </w:pPr>
    <w:rPr>
      <w:rFonts w:eastAsia="楷体_GB2312" w:asciiTheme="minorAscii" w:hAnsiTheme="minorAscii"/>
      <w:b/>
      <w:snapToGrid w:val="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样式 样式 正文文本缩进 + 首行缩进:  2 字符 + 首行缩进:  2 字符"/>
    <w:basedOn w:val="3"/>
    <w:qFormat/>
    <w:uiPriority w:val="0"/>
  </w:style>
  <w:style w:type="paragraph" w:customStyle="1" w:styleId="3">
    <w:name w:val="样式 正文文本缩进 + 首行缩进:  2 字符"/>
    <w:basedOn w:val="4"/>
    <w:qFormat/>
    <w:uiPriority w:val="0"/>
    <w:rPr>
      <w:szCs w:val="20"/>
    </w:rPr>
  </w:style>
  <w:style w:type="paragraph" w:styleId="4">
    <w:name w:val="Body Text Indent"/>
    <w:basedOn w:val="1"/>
    <w:next w:val="5"/>
    <w:qFormat/>
    <w:uiPriority w:val="0"/>
    <w:pPr>
      <w:ind w:left="200" w:leftChars="200"/>
    </w:pPr>
  </w:style>
  <w:style w:type="paragraph" w:styleId="5">
    <w:name w:val="footer"/>
    <w:basedOn w:val="1"/>
    <w:qFormat/>
    <w:uiPriority w:val="0"/>
    <w:pPr>
      <w:tabs>
        <w:tab w:val="center" w:pos="4153"/>
        <w:tab w:val="right" w:pos="8306"/>
      </w:tabs>
      <w:snapToGrid w:val="0"/>
      <w:jc w:val="left"/>
    </w:pPr>
    <w:rPr>
      <w:sz w:val="18"/>
    </w:rPr>
  </w:style>
  <w:style w:type="paragraph" w:styleId="9">
    <w:name w:val="Normal Indent"/>
    <w:basedOn w:val="1"/>
    <w:qFormat/>
    <w:uiPriority w:val="0"/>
    <w:pPr>
      <w:ind w:firstLine="567"/>
    </w:pPr>
  </w:style>
  <w:style w:type="paragraph" w:styleId="11">
    <w:name w:val="toc 3"/>
    <w:basedOn w:val="1"/>
    <w:next w:val="1"/>
    <w:qFormat/>
    <w:uiPriority w:val="39"/>
    <w:pPr>
      <w:ind w:left="560"/>
      <w:jc w:val="left"/>
    </w:pPr>
    <w:rPr>
      <w:rFonts w:ascii="Calibri" w:hAnsi="Calibri" w:cs="Calibri"/>
      <w:i/>
      <w:iCs/>
      <w:sz w:val="20"/>
    </w:rPr>
  </w:style>
  <w:style w:type="paragraph" w:styleId="12">
    <w:name w:val="Plain Text"/>
    <w:basedOn w:val="1"/>
    <w:qFormat/>
    <w:uiPriority w:val="0"/>
    <w:pPr>
      <w:widowControl/>
      <w:jc w:val="left"/>
    </w:pPr>
    <w:rPr>
      <w:rFonts w:ascii="宋体" w:hAnsi="Courier New" w:eastAsia="宋体" w:cs="Courier New"/>
      <w:sz w:val="21"/>
      <w:szCs w:val="21"/>
      <w:lang w:val="en-US" w:eastAsia="zh-CN"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footnote text"/>
    <w:basedOn w:val="1"/>
    <w:unhideWhenUsed/>
    <w:qFormat/>
    <w:uiPriority w:val="0"/>
    <w:pPr>
      <w:snapToGrid w:val="0"/>
    </w:pPr>
    <w:rPr>
      <w:kern w:val="2"/>
      <w:sz w:val="18"/>
      <w:szCs w:val="18"/>
      <w:lang w:bidi="ar-SA"/>
    </w:rPr>
  </w:style>
  <w:style w:type="paragraph" w:styleId="16">
    <w:name w:val="toc 2"/>
    <w:basedOn w:val="1"/>
    <w:next w:val="1"/>
    <w:qFormat/>
    <w:uiPriority w:val="39"/>
    <w:pPr>
      <w:ind w:left="280"/>
      <w:jc w:val="left"/>
    </w:pPr>
    <w:rPr>
      <w:rFonts w:ascii="Calibri" w:hAnsi="Calibri" w:cs="Calibri"/>
      <w:smallCaps/>
      <w:sz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4"/>
    <w:qFormat/>
    <w:uiPriority w:val="0"/>
    <w:pPr>
      <w:ind w:firstLine="200" w:firstLineChars="200"/>
    </w:pPr>
  </w:style>
  <w:style w:type="character" w:styleId="21">
    <w:name w:val="page number"/>
    <w:basedOn w:val="20"/>
    <w:qFormat/>
    <w:uiPriority w:val="0"/>
  </w:style>
  <w:style w:type="character" w:styleId="22">
    <w:name w:val="footnote reference"/>
    <w:unhideWhenUsed/>
    <w:qFormat/>
    <w:uiPriority w:val="0"/>
    <w:rPr>
      <w:vertAlign w:val="superscript"/>
    </w:rPr>
  </w:style>
  <w:style w:type="paragraph" w:customStyle="1" w:styleId="23">
    <w:name w:val="正文-公1"/>
    <w:next w:val="13"/>
    <w:qFormat/>
    <w:uiPriority w:val="0"/>
    <w:pPr>
      <w:widowControl w:val="0"/>
      <w:spacing w:line="346" w:lineRule="auto"/>
      <w:ind w:left="1" w:firstLine="200" w:firstLineChars="200"/>
      <w:jc w:val="both"/>
      <w:textAlignment w:val="bottom"/>
    </w:pPr>
    <w:rPr>
      <w:rFonts w:ascii="Times New Roman" w:hAnsi="Times New Roman" w:eastAsia="仿宋_GB2312" w:cs="Times New Roman"/>
      <w:color w:val="000000"/>
      <w:sz w:val="32"/>
      <w:lang w:val="en-US" w:eastAsia="zh-CN" w:bidi="ar-SA"/>
    </w:rPr>
  </w:style>
  <w:style w:type="character" w:customStyle="1" w:styleId="24">
    <w:name w:val="fontstyle01"/>
    <w:basedOn w:val="20"/>
    <w:qFormat/>
    <w:uiPriority w:val="0"/>
    <w:rPr>
      <w:rFonts w:hint="eastAsia" w:ascii="宋体" w:hAnsi="宋体" w:eastAsia="宋体"/>
      <w:color w:val="000000"/>
      <w:sz w:val="28"/>
      <w:szCs w:val="28"/>
    </w:rPr>
  </w:style>
  <w:style w:type="paragraph" w:customStyle="1" w:styleId="25">
    <w:name w:val="4级标题"/>
    <w:basedOn w:val="1"/>
    <w:qFormat/>
    <w:uiPriority w:val="0"/>
    <w:pPr>
      <w:widowControl w:val="0"/>
      <w:adjustRightInd w:val="0"/>
      <w:spacing w:after="0" w:line="360" w:lineRule="auto"/>
      <w:ind w:firstLine="482" w:firstLineChars="200"/>
      <w:jc w:val="both"/>
    </w:pPr>
    <w:rPr>
      <w:rFonts w:ascii="宋体" w:hAnsi="宋体" w:eastAsia="仿宋_GB2312" w:cstheme="minorBidi"/>
      <w:b/>
      <w:color w:val="000000"/>
      <w:kern w:val="2"/>
      <w:sz w:val="24"/>
      <w:lang w:eastAsia="zh-CN" w:bidi="ar-SA"/>
    </w:rPr>
  </w:style>
  <w:style w:type="paragraph" w:customStyle="1" w:styleId="26">
    <w:name w:val="标准正文"/>
    <w:basedOn w:val="1"/>
    <w:qFormat/>
    <w:uiPriority w:val="0"/>
    <w:pPr>
      <w:adjustRightInd w:val="0"/>
      <w:spacing w:line="300" w:lineRule="auto"/>
      <w:ind w:firstLine="482"/>
    </w:pPr>
    <w:rPr>
      <w:sz w:val="24"/>
      <w:szCs w:val="20"/>
    </w:rPr>
  </w:style>
  <w:style w:type="character" w:customStyle="1" w:styleId="27">
    <w:name w:val="font21"/>
    <w:basedOn w:val="20"/>
    <w:qFormat/>
    <w:uiPriority w:val="0"/>
    <w:rPr>
      <w:rFonts w:hint="eastAsia" w:ascii="宋体" w:hAnsi="宋体" w:eastAsia="宋体" w:cs="宋体"/>
      <w:color w:val="000000"/>
      <w:sz w:val="22"/>
      <w:szCs w:val="22"/>
      <w:u w:val="none"/>
    </w:rPr>
  </w:style>
  <w:style w:type="character" w:customStyle="1" w:styleId="28">
    <w:name w:val="font11"/>
    <w:basedOn w:val="20"/>
    <w:qFormat/>
    <w:uiPriority w:val="0"/>
    <w:rPr>
      <w:rFonts w:hint="default" w:ascii="Times New Roman" w:hAnsi="Times New Roman" w:cs="Times New Roman"/>
      <w:color w:val="000000"/>
      <w:sz w:val="22"/>
      <w:szCs w:val="22"/>
      <w:u w:val="none"/>
    </w:rPr>
  </w:style>
  <w:style w:type="character" w:customStyle="1" w:styleId="29">
    <w:name w:val="font41"/>
    <w:basedOn w:val="20"/>
    <w:qFormat/>
    <w:uiPriority w:val="0"/>
    <w:rPr>
      <w:rFonts w:hint="eastAsia" w:ascii="宋体" w:hAnsi="宋体" w:eastAsia="宋体" w:cs="宋体"/>
      <w:b/>
      <w:bCs/>
      <w:color w:val="000000"/>
      <w:sz w:val="22"/>
      <w:szCs w:val="22"/>
      <w:u w:val="none"/>
    </w:rPr>
  </w:style>
  <w:style w:type="character" w:customStyle="1" w:styleId="30">
    <w:name w:val="font31"/>
    <w:basedOn w:val="20"/>
    <w:qFormat/>
    <w:uiPriority w:val="0"/>
    <w:rPr>
      <w:rFonts w:hint="default" w:ascii="Times New Roman" w:hAnsi="Times New Roman" w:cs="Times New Roman"/>
      <w:b/>
      <w:bCs/>
      <w:color w:val="000000"/>
      <w:sz w:val="22"/>
      <w:szCs w:val="22"/>
      <w:u w:val="none"/>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character" w:customStyle="1" w:styleId="33">
    <w:name w:val="font51"/>
    <w:basedOn w:val="20"/>
    <w:qFormat/>
    <w:uiPriority w:val="0"/>
    <w:rPr>
      <w:rFonts w:hint="eastAsia" w:ascii="宋体" w:hAnsi="宋体" w:eastAsia="宋体" w:cs="宋体"/>
      <w:color w:val="000000"/>
      <w:sz w:val="21"/>
      <w:szCs w:val="21"/>
      <w:u w:val="none"/>
    </w:rPr>
  </w:style>
  <w:style w:type="character" w:customStyle="1" w:styleId="34">
    <w:name w:val="font61"/>
    <w:basedOn w:val="20"/>
    <w:qFormat/>
    <w:uiPriority w:val="0"/>
    <w:rPr>
      <w:rFonts w:hint="default" w:ascii="Times New Roman" w:hAnsi="Times New Roman" w:cs="Times New Roman"/>
      <w:color w:val="000000"/>
      <w:sz w:val="21"/>
      <w:szCs w:val="21"/>
      <w:u w:val="none"/>
    </w:rPr>
  </w:style>
  <w:style w:type="character" w:customStyle="1" w:styleId="35">
    <w:name w:val="font112"/>
    <w:basedOn w:val="20"/>
    <w:qFormat/>
    <w:uiPriority w:val="0"/>
    <w:rPr>
      <w:rFonts w:hint="default" w:ascii="Times New Roman" w:hAnsi="Times New Roman" w:cs="Times New Roman"/>
      <w:color w:val="000000"/>
      <w:sz w:val="22"/>
      <w:szCs w:val="22"/>
      <w:u w:val="none"/>
    </w:rPr>
  </w:style>
  <w:style w:type="character" w:customStyle="1" w:styleId="36">
    <w:name w:val="font121"/>
    <w:basedOn w:val="20"/>
    <w:qFormat/>
    <w:uiPriority w:val="0"/>
    <w:rPr>
      <w:rFonts w:hint="eastAsia" w:ascii="宋体" w:hAnsi="宋体" w:eastAsia="宋体" w:cs="宋体"/>
      <w:color w:val="000000"/>
      <w:sz w:val="22"/>
      <w:szCs w:val="22"/>
      <w:u w:val="none"/>
    </w:rPr>
  </w:style>
  <w:style w:type="character" w:customStyle="1" w:styleId="37">
    <w:name w:val="font81"/>
    <w:basedOn w:val="20"/>
    <w:qFormat/>
    <w:uiPriority w:val="0"/>
    <w:rPr>
      <w:rFonts w:hint="default" w:ascii="Times New Roman" w:hAnsi="Times New Roman" w:cs="Times New Roman"/>
      <w:color w:val="000000"/>
      <w:sz w:val="22"/>
      <w:szCs w:val="22"/>
      <w:u w:val="none"/>
    </w:rPr>
  </w:style>
  <w:style w:type="character" w:customStyle="1" w:styleId="38">
    <w:name w:val="font01"/>
    <w:basedOn w:val="20"/>
    <w:qFormat/>
    <w:uiPriority w:val="0"/>
    <w:rPr>
      <w:rFonts w:hint="eastAsia" w:ascii="宋体" w:hAnsi="宋体" w:eastAsia="宋体" w:cs="宋体"/>
      <w:color w:val="000000"/>
      <w:sz w:val="22"/>
      <w:szCs w:val="22"/>
      <w:u w:val="none"/>
    </w:rPr>
  </w:style>
  <w:style w:type="character" w:customStyle="1" w:styleId="39">
    <w:name w:val="font101"/>
    <w:basedOn w:val="20"/>
    <w:qFormat/>
    <w:uiPriority w:val="0"/>
    <w:rPr>
      <w:rFonts w:hint="eastAsia" w:ascii="宋体" w:hAnsi="宋体" w:eastAsia="宋体" w:cs="宋体"/>
      <w:color w:val="000000"/>
      <w:sz w:val="21"/>
      <w:szCs w:val="21"/>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71"/>
    <w:basedOn w:val="20"/>
    <w:qFormat/>
    <w:uiPriority w:val="0"/>
    <w:rPr>
      <w:rFonts w:hint="default" w:ascii="Times New Roman" w:hAnsi="Times New Roman" w:cs="Times New Roman"/>
      <w:color w:val="000000"/>
      <w:sz w:val="21"/>
      <w:szCs w:val="21"/>
      <w:u w:val="none"/>
    </w:rPr>
  </w:style>
  <w:style w:type="character" w:customStyle="1" w:styleId="42">
    <w:name w:val="font111"/>
    <w:basedOn w:val="20"/>
    <w:qFormat/>
    <w:uiPriority w:val="0"/>
    <w:rPr>
      <w:rFonts w:hint="eastAsia" w:ascii="宋体" w:hAnsi="宋体" w:eastAsia="宋体" w:cs="宋体"/>
      <w:color w:val="000000"/>
      <w:sz w:val="21"/>
      <w:szCs w:val="21"/>
      <w:u w:val="none"/>
    </w:rPr>
  </w:style>
  <w:style w:type="character" w:customStyle="1" w:styleId="43">
    <w:name w:val="font122"/>
    <w:basedOn w:val="20"/>
    <w:qFormat/>
    <w:uiPriority w:val="0"/>
    <w:rPr>
      <w:rFonts w:hint="eastAsia" w:ascii="宋体" w:hAnsi="宋体" w:eastAsia="宋体" w:cs="宋体"/>
      <w:color w:val="000000"/>
      <w:sz w:val="21"/>
      <w:szCs w:val="21"/>
      <w:u w:val="none"/>
    </w:rPr>
  </w:style>
  <w:style w:type="character" w:customStyle="1" w:styleId="44">
    <w:name w:val="font12"/>
    <w:basedOn w:val="20"/>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header" Target="header19.xml"/><Relationship Id="rId3" Type="http://schemas.openxmlformats.org/officeDocument/2006/relationships/footnotes" Target="footnotes.xml"/><Relationship Id="rId29" Type="http://schemas.openxmlformats.org/officeDocument/2006/relationships/footer" Target="footer8.xml"/><Relationship Id="rId28" Type="http://schemas.openxmlformats.org/officeDocument/2006/relationships/footer" Target="footer7.xml"/><Relationship Id="rId27" Type="http://schemas.openxmlformats.org/officeDocument/2006/relationships/header" Target="header18.xml"/><Relationship Id="rId26" Type="http://schemas.openxmlformats.org/officeDocument/2006/relationships/header" Target="header17.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footer" Target="footer6.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1.xml"/><Relationship Id="rId17" Type="http://schemas.openxmlformats.org/officeDocument/2006/relationships/footer" Target="footer4.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3.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2056</Words>
  <Characters>2171</Characters>
  <Lines>0</Lines>
  <Paragraphs>0</Paragraphs>
  <TotalTime>6</TotalTime>
  <ScaleCrop>false</ScaleCrop>
  <LinksUpToDate>false</LinksUpToDate>
  <CharactersWithSpaces>2380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2021-12-16T01:55:00Z</dcterms:created>
  <dc:creator>PC</dc:creator>
  <cp:lastModifiedBy>yuyuyuyuyu</cp:lastModifiedBy>
  <cp:lastPrinted>2022-10-31T09:11:00Z</cp:lastPrinted>
  <dcterms:modified xsi:type="dcterms:W3CDTF">2025-07-17T03:09:59Z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897D412C436B42D68EC2DA7A2D3ACD68</vt:lpwstr>
  </property>
  <property fmtid="{D5CDD505-2E9C-101B-9397-08002B2CF9AE}" pid="4" name="KSOTemplateDocerSaveRecord">
    <vt:lpwstr>eyJoZGlkIjoiNjNlYWY3ZWI5NTBjY2M5NDY3OTgyMjEyNTg5NDA1ZTUiLCJ1c2VySWQiOiIzMDQ4OTUwMzAifQ==</vt:lpwstr>
  </property>
</Properties>
</file>