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647939C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color w:val="auto"/>
          <w:sz w:val="44"/>
          <w:szCs w:val="44"/>
          <w:lang w:val="en-US" w:eastAsia="zh-CN"/>
        </w:rPr>
      </w:pPr>
      <w:bookmarkStart w:id="0" w:name="_GoBack"/>
      <w:r>
        <w:rPr>
          <w:rFonts w:hint="eastAsia" w:ascii="方正小标宋简体" w:hAnsi="方正小标宋简体" w:eastAsia="方正小标宋简体" w:cs="方正小标宋简体"/>
          <w:b w:val="0"/>
          <w:bCs w:val="0"/>
          <w:color w:val="auto"/>
          <w:sz w:val="44"/>
          <w:szCs w:val="44"/>
          <w:lang w:val="en-US" w:eastAsia="zh-CN"/>
        </w:rPr>
        <w:t>平坝区平坝酒厂 中水回用“酿”出“活金流”</w:t>
      </w:r>
    </w:p>
    <w:bookmarkEnd w:id="0"/>
    <w:p w14:paraId="0A8B9222">
      <w:pPr>
        <w:bidi w:val="0"/>
        <w:rPr>
          <w:rFonts w:hint="eastAsia"/>
          <w:lang w:val="en-US" w:eastAsia="zh-CN"/>
        </w:rPr>
      </w:pPr>
    </w:p>
    <w:p w14:paraId="0506FC02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贵州省平坝酒厂（集团）有限责任公司（简称“平坝酒厂”）成立于1952年，年产白酒约2万吨，是平坝区重点工业企业。为深入贯彻“节水优先”方针，落实国家关于创新节水管理服务模式、推广合同节水管理的要求，2023年5月，平坝酒厂以实施合同节水管理为突破口，引入第三方专业公司投资改造节水设施，旨在提升水资源循环利用水平，巩固节水标杆企业成果，探索水生态产品价值实现路径。</w:t>
      </w:r>
    </w:p>
    <w:p w14:paraId="6030EED4">
      <w:pPr>
        <w:bidi w:val="0"/>
        <w:spacing w:line="240" w:lineRule="auto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400040" cy="4679950"/>
            <wp:effectExtent l="0" t="0" r="10160" b="0"/>
            <wp:docPr id="2" name="图片 2" descr="ac8d91f9ce80badf7c3959ef18c0bd60_b15492a1-13de-4deb-b465-88f26afe43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c8d91f9ce80badf7c3959ef18c0bd60_b15492a1-13de-4deb-b465-88f26afe4344"/>
                    <pic:cNvPicPr/>
                  </pic:nvPicPr>
                  <pic:blipFill>
                    <a:blip r:embed="rId6"/>
                    <a:srcRect b="4386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67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756326">
      <w:pPr>
        <w:bidi w:val="0"/>
        <w:spacing w:line="240" w:lineRule="auto"/>
        <w:ind w:left="0" w:leftChars="0" w:firstLine="0" w:firstLineChars="0"/>
        <w:jc w:val="center"/>
        <w:rPr>
          <w:rFonts w:hint="default" w:ascii="宋体" w:hAnsi="宋体" w:eastAsia="宋体" w:cs="宋体"/>
          <w:i w:val="0"/>
          <w:iCs w:val="0"/>
          <w:caps w:val="0"/>
          <w:color w:val="515151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15151"/>
          <w:spacing w:val="0"/>
          <w:sz w:val="24"/>
          <w:szCs w:val="24"/>
          <w:shd w:val="clear" w:fill="FFFFFF"/>
          <w:lang w:val="en-US" w:eastAsia="zh-CN"/>
        </w:rPr>
        <w:t>平坝酒厂俯瞰、酒厂内部图</w:t>
      </w:r>
    </w:p>
    <w:p w14:paraId="7B0C9077"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黑体" w:hAnsi="黑体" w:eastAsia="黑体" w:cs="黑体"/>
          <w:color w:val="auto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auto"/>
          <w:sz w:val="30"/>
          <w:szCs w:val="30"/>
          <w:lang w:val="en-US" w:eastAsia="zh-CN"/>
        </w:rPr>
        <w:t>主要做法</w:t>
      </w:r>
    </w:p>
    <w:p w14:paraId="0F97F0BE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是应用节水技术，构建循环利用体系。洗瓶水深度处理回用，针对3条大洗生产线每日排放约600立方米的轻度污染洗瓶废水（主要含灰尘、颗粒杂质），优化处理工艺，采用“臭氧活性炭－超滤－紫外臭氧联合消毒”技术进行处理，基本实现洗瓶废水“零排放”。供水系统智能化改造，对老化供水管网、计量设施进行更新升级，安装远程监控系统。构建基于DMA（独立计量分区）的供水管网远程监控与管理平台，实现企业各环节用水在线计量、实时监测和精细化管理，有效杜绝“跑冒滴漏”。</w:t>
      </w:r>
    </w:p>
    <w:p w14:paraId="31A5B507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是创新管理模式，引入市场机制。采用“节水效果保证型+节水效益分享型”组合模式，引入第三方节水服务企业投资建设。合同期6年，效益分享比例逐年调整，合同期满后，节水设施所有权及使用权无偿移交酒厂，并确保正常运行。</w:t>
      </w:r>
    </w:p>
    <w:p w14:paraId="20C0DAE1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是强化基础管理，提升节水意识。通过水量平衡测试摸清用水底数，完善用水管理制度。利用宣传栏、公众号、官网等渠道，结合“世界水日”、“中国水周”、“全国城市节水宣传周”等节点，常态化开展“关爱命脉、节约能源”主题宣传，倡导节约风尚。积极创建节水型标杆企业，总结节水经验，挖掘内部潜力，提升全员节水意识。</w:t>
      </w:r>
    </w:p>
    <w:p w14:paraId="0D153B05">
      <w:pPr>
        <w:bidi w:val="0"/>
        <w:spacing w:line="240" w:lineRule="auto"/>
        <w:ind w:left="0" w:leftChars="0" w:firstLine="0" w:firstLine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00040" cy="3959860"/>
            <wp:effectExtent l="0" t="0" r="10160" b="2540"/>
            <wp:docPr id="1" name="图片 1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59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328549C">
      <w:pPr>
        <w:bidi w:val="0"/>
        <w:spacing w:line="240" w:lineRule="auto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15151"/>
          <w:spacing w:val="0"/>
          <w:sz w:val="24"/>
          <w:szCs w:val="24"/>
          <w:shd w:val="clear" w:fill="FFFFFF"/>
        </w:rPr>
        <w:t>平坝酒厂中水回收处理站</w:t>
      </w:r>
    </w:p>
    <w:p w14:paraId="7176392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default" w:ascii="黑体" w:hAnsi="黑体" w:eastAsia="黑体" w:cs="黑体"/>
          <w:color w:val="auto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auto"/>
          <w:sz w:val="30"/>
          <w:szCs w:val="30"/>
          <w:lang w:val="en-US" w:eastAsia="zh-CN"/>
        </w:rPr>
        <w:t>经验启示</w:t>
      </w:r>
    </w:p>
    <w:p w14:paraId="5910F547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是管理理念创新是核心。引入专业第三方，采用“效果保证+效益分享”组合模式及资源置换思路，将监管从终端前移至全过程，实现即时纠偏，保障设施长效高效运行，最大化提升水资源利用效率，降低系统运行成本。</w:t>
      </w:r>
    </w:p>
    <w:p w14:paraId="79B6E624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是技术集成应用是支撑。成功应用臭氧活性炭、超滤、紫外消毒等水处理技术，并集成物联网、GIS、大数据分析等信息技术构建智能管理平台，实现水资源循环利用过程的实时监控和智能管理，为持续优化提供数据基础。</w:t>
      </w:r>
    </w:p>
    <w:p w14:paraId="73AB37EF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是产业模式创新是动力。合同节水管理有效链接了用户与专业服务商，通过科学的风险共担、利益共享机制（如逐年调整的分成比例），既快速提升了用户自身的节水效益和综合管理水平，也促进了节水服务产业的健康发展，放大了节水减排的社会效益，对整合市场资源、发展节水新质生产力具有方向性引领作用。</w:t>
      </w:r>
    </w:p>
    <w:p w14:paraId="6ECA5E9D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</w:pPr>
    </w:p>
    <w:sectPr>
      <w:pgSz w:w="11906" w:h="16838"/>
      <w:pgMar w:top="1701" w:right="1474" w:bottom="1701" w:left="1587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640"/>
      </w:pPr>
      <w:r>
        <w:separator/>
      </w:r>
    </w:p>
  </w:endnote>
  <w:endnote w:type="continuationSeparator" w:id="1">
    <w:p>
      <w:pPr>
        <w:spacing w:line="240" w:lineRule="auto"/>
        <w:ind w:firstLine="6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793D5C90-F3EE-47A3-A6BB-6E2CE8F46D48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2" w:fontKey="{FD64DA03-B107-4688-8EBC-A0C629D77DD1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640"/>
      </w:pPr>
      <w:r>
        <w:separator/>
      </w:r>
    </w:p>
  </w:footnote>
  <w:footnote w:type="continuationSeparator" w:id="1">
    <w:p>
      <w:pPr>
        <w:spacing w:line="240" w:lineRule="auto"/>
        <w:ind w:firstLine="64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C03F77"/>
    <w:rsid w:val="07E643FF"/>
    <w:rsid w:val="088A119C"/>
    <w:rsid w:val="0FC401FA"/>
    <w:rsid w:val="15415E49"/>
    <w:rsid w:val="181F06C4"/>
    <w:rsid w:val="19BE5CBA"/>
    <w:rsid w:val="1BEC5803"/>
    <w:rsid w:val="21BE719F"/>
    <w:rsid w:val="22FF3DB9"/>
    <w:rsid w:val="24FA6740"/>
    <w:rsid w:val="277420AE"/>
    <w:rsid w:val="2F2D14C0"/>
    <w:rsid w:val="3078546E"/>
    <w:rsid w:val="34A71D15"/>
    <w:rsid w:val="3856472F"/>
    <w:rsid w:val="3D245307"/>
    <w:rsid w:val="4C2C3F68"/>
    <w:rsid w:val="52A85B15"/>
    <w:rsid w:val="5DC57B01"/>
    <w:rsid w:val="600A2FD4"/>
    <w:rsid w:val="62F2750C"/>
    <w:rsid w:val="641F1AF3"/>
    <w:rsid w:val="65C21C5B"/>
    <w:rsid w:val="65FF1B98"/>
    <w:rsid w:val="6A1B79FA"/>
    <w:rsid w:val="7392092F"/>
    <w:rsid w:val="765137FD"/>
    <w:rsid w:val="7C5F6157"/>
    <w:rsid w:val="7ECB0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560" w:lineRule="exact"/>
      <w:ind w:firstLine="200" w:firstLineChars="200"/>
      <w:jc w:val="both"/>
    </w:pPr>
    <w:rPr>
      <w:rFonts w:ascii="Times New Roman" w:hAnsi="Times New Roman" w:eastAsia="仿宋_GB2312" w:cs="Times New Roman"/>
      <w:kern w:val="2"/>
      <w:sz w:val="32"/>
      <w:szCs w:val="21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spacing w:line="560" w:lineRule="exact"/>
      <w:jc w:val="left"/>
      <w:outlineLvl w:val="1"/>
    </w:pPr>
    <w:rPr>
      <w:rFonts w:ascii="Times New Roman" w:hAnsi="Times New Roman" w:eastAsia="楷体" w:cs="Times New Roman"/>
      <w:sz w:val="32"/>
      <w:szCs w:val="32"/>
    </w:rPr>
  </w:style>
  <w:style w:type="paragraph" w:styleId="3">
    <w:name w:val="heading 3"/>
    <w:basedOn w:val="1"/>
    <w:next w:val="1"/>
    <w:unhideWhenUsed/>
    <w:qFormat/>
    <w:uiPriority w:val="0"/>
    <w:pPr>
      <w:spacing w:line="360" w:lineRule="auto"/>
      <w:jc w:val="left"/>
      <w:outlineLvl w:val="2"/>
    </w:pPr>
    <w:rPr>
      <w:rFonts w:ascii="仿宋_GB2312" w:hAnsi="仿宋_GB2312" w:eastAsia="仿宋_GB2312" w:cs="仿宋_GB2312"/>
      <w:b/>
      <w:bCs/>
      <w:sz w:val="28"/>
      <w:szCs w:val="28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styleId="7">
    <w:name w:val="Strong"/>
    <w:basedOn w:val="6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1200</Words>
  <Characters>1224</Characters>
  <Lines>0</Lines>
  <Paragraphs>0</Paragraphs>
  <TotalTime>7</TotalTime>
  <ScaleCrop>false</ScaleCrop>
  <LinksUpToDate>false</LinksUpToDate>
  <CharactersWithSpaces>1224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2025-08-13T08:00:00Z</dcterms:created>
  <dc:creator>lenvov</dc:creator>
  <cp:lastModifiedBy>user</cp:lastModifiedBy>
  <dcterms:modified xsi:type="dcterms:W3CDTF">2025-08-14T16:06:08Z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eyJoZGlkIjoiMjRlZmI5NzM2YWI4NjYyYmUyYWYyNzhiNTU5ZTNlZDUiLCJ1c2VySWQiOiI0OTE4ODA3MjkifQ==</vt:lpwstr>
  </property>
  <property fmtid="{D5CDD505-2E9C-101B-9397-08002B2CF9AE}" pid="4" name="ICV">
    <vt:lpwstr>D0D5CA4D05A44E10991A54D5DAAACB8D_12</vt:lpwstr>
  </property>
</Properties>
</file>