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E7D304"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pacing w:val="-11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pacing w:val="-11"/>
          <w:sz w:val="44"/>
          <w:szCs w:val="44"/>
          <w:lang w:val="en-US" w:eastAsia="zh-CN"/>
        </w:rPr>
        <w:t>遵义市 以赤水河高水平治理保护书写</w:t>
      </w:r>
    </w:p>
    <w:p w14:paraId="30CE267D"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方正小标宋简体" w:hAnsi="方正小标宋简体" w:eastAsia="方正小标宋简体" w:cs="方正小标宋简体"/>
          <w:color w:val="auto"/>
          <w:spacing w:val="-11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pacing w:val="-11"/>
          <w:sz w:val="44"/>
          <w:szCs w:val="44"/>
          <w:lang w:val="en-US" w:eastAsia="zh-CN"/>
        </w:rPr>
        <w:t>绿色发展新答卷</w:t>
      </w:r>
    </w:p>
    <w:p w14:paraId="2F4C2A0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eastAsia" w:ascii="黑体" w:hAnsi="黑体" w:eastAsia="黑体" w:cs="黑体"/>
          <w:color w:val="auto"/>
          <w:sz w:val="30"/>
          <w:szCs w:val="30"/>
          <w:lang w:val="en-US" w:eastAsia="zh-CN"/>
        </w:rPr>
      </w:pPr>
    </w:p>
    <w:p w14:paraId="4E62B275">
      <w:pPr>
        <w:bidi w:val="0"/>
        <w:rPr>
          <w:rFonts w:ascii="Times New Roman" w:hAnsi="Times New Roman"/>
        </w:rPr>
      </w:pPr>
      <w:r>
        <w:rPr>
          <w:rFonts w:ascii="Times New Roman" w:hAnsi="Times New Roman"/>
        </w:rPr>
        <w:t>赤水河是长江上游重要一级支流，流经云、贵、川三省，全长436公里，其中遵义市境内236.3公里，流域面积9400平方公里。</w:t>
      </w:r>
      <w:r>
        <w:rPr>
          <w:rFonts w:hint="eastAsia"/>
          <w:lang w:val="en-US" w:eastAsia="zh-CN"/>
        </w:rPr>
        <w:t>赤水河</w:t>
      </w:r>
      <w:r>
        <w:rPr>
          <w:rFonts w:hint="default" w:ascii="Times New Roman" w:hAnsi="Times New Roman"/>
        </w:rPr>
        <w:t>是长江流域唯一没有修建干流大坝并保持自然流态的一级支流</w:t>
      </w:r>
      <w:r>
        <w:rPr>
          <w:rFonts w:hint="eastAsia" w:ascii="Times New Roman" w:hAnsi="Times New Roman"/>
        </w:rPr>
        <w:t>，</w:t>
      </w:r>
      <w:r>
        <w:rPr>
          <w:rFonts w:hint="eastAsia"/>
          <w:lang w:val="en-US" w:eastAsia="zh-CN"/>
        </w:rPr>
        <w:t>也</w:t>
      </w:r>
      <w:r>
        <w:rPr>
          <w:rFonts w:hint="eastAsia" w:ascii="Times New Roman" w:hAnsi="Times New Roman"/>
        </w:rPr>
        <w:t>是长江上游珍稀特有鱼类国家级自然保护区，流域地形地貌独特，自然生态良好，是长江上游重要的生态屏障，被赋予“生态河、美景河、英雄河、美酒河”之誉。</w:t>
      </w:r>
      <w:r>
        <w:rPr>
          <w:rFonts w:ascii="Times New Roman" w:hAnsi="Times New Roman"/>
        </w:rPr>
        <w:t>近年来，</w:t>
      </w:r>
      <w:r>
        <w:rPr>
          <w:rFonts w:hint="eastAsia" w:ascii="Times New Roman" w:hAnsi="Times New Roman"/>
        </w:rPr>
        <w:t>遵义市始终坚守发展和生态两条底线，</w:t>
      </w:r>
      <w:r>
        <w:rPr>
          <w:rFonts w:hint="eastAsia"/>
          <w:lang w:val="en-US" w:eastAsia="zh-CN"/>
        </w:rPr>
        <w:t>多措并举做好赤水河流域保护与发展双赢</w:t>
      </w:r>
      <w:r>
        <w:rPr>
          <w:rFonts w:hint="eastAsia" w:ascii="Times New Roman" w:hAnsi="Times New Roman"/>
          <w:lang w:eastAsia="zh-CN"/>
        </w:rPr>
        <w:t>，</w:t>
      </w:r>
      <w:r>
        <w:rPr>
          <w:rFonts w:hint="default" w:ascii="Times New Roman" w:hAnsi="Times New Roman"/>
          <w:lang w:val="en-US" w:eastAsia="zh-CN"/>
        </w:rPr>
        <w:t>促进水生态产品价值实现</w:t>
      </w:r>
      <w:r>
        <w:rPr>
          <w:rFonts w:ascii="Times New Roman" w:hAnsi="Times New Roman"/>
        </w:rPr>
        <w:t>。</w:t>
      </w:r>
    </w:p>
    <w:p w14:paraId="0606FD76">
      <w:pPr>
        <w:bidi w:val="0"/>
        <w:spacing w:line="240" w:lineRule="auto"/>
        <w:ind w:left="0" w:leftChars="0" w:firstLine="0" w:firstLineChars="0"/>
        <w:jc w:val="center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5400040" cy="3544570"/>
            <wp:effectExtent l="0" t="0" r="10160" b="17780"/>
            <wp:docPr id="3" name="图片 1" descr="IMG_2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IMG_256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5445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4509D74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center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赤水河风光</w:t>
      </w:r>
    </w:p>
    <w:p w14:paraId="7B0C907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default" w:ascii="黑体" w:hAnsi="黑体" w:eastAsia="黑体" w:cs="黑体"/>
          <w:color w:val="auto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0"/>
          <w:szCs w:val="30"/>
          <w:lang w:val="en-US" w:eastAsia="zh-CN"/>
        </w:rPr>
        <w:t>主要做法</w:t>
      </w:r>
    </w:p>
    <w:p w14:paraId="2DA849C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一是强化顶层制度设计</w:t>
      </w:r>
      <w:r>
        <w:rPr>
          <w:rFonts w:hint="default"/>
          <w:lang w:val="en-US" w:eastAsia="zh-CN"/>
        </w:rPr>
        <w:t>。2021年云贵川三省共同通过《关于加强赤水河流域共同保护的决定》及《赤水河流域保护条例》，开创省际协同保护新格局。2023年《贵州省赤水河流域酱香型白酒生产环境保护条例》施行，为重点产业环境保护提供法律支撑</w:t>
      </w:r>
      <w:r>
        <w:rPr>
          <w:rFonts w:hint="eastAsia"/>
          <w:lang w:val="en-US" w:eastAsia="zh-CN"/>
        </w:rPr>
        <w:t>，</w:t>
      </w:r>
      <w:r>
        <w:rPr>
          <w:rFonts w:hint="default"/>
          <w:lang w:val="en-US" w:eastAsia="zh-CN"/>
        </w:rPr>
        <w:t>系列法规为生态补偿奠定了坚实法律基础。</w:t>
      </w:r>
    </w:p>
    <w:p w14:paraId="0F2BB49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二是创新流域生态保护补偿。2023年云贵川三省签订第二轮《赤水河流域横向生态补偿条例》，共同出资3亿元设立补偿资金，以干流和主要支流水质界定三省责任</w:t>
      </w:r>
      <w:r>
        <w:rPr>
          <w:rFonts w:hint="default"/>
          <w:lang w:val="en-US" w:eastAsia="zh-CN"/>
        </w:rPr>
        <w:t>。</w:t>
      </w:r>
      <w:r>
        <w:rPr>
          <w:rFonts w:hint="eastAsia"/>
          <w:lang w:val="en-US" w:eastAsia="zh-CN"/>
        </w:rPr>
        <w:t>2024年印发《遵义市赤水河等流域横向生态保护补偿实施办法》，实行县（市）间水质、水量双向补偿，赤水河干流水质达到</w:t>
      </w:r>
      <w:r>
        <w:rPr>
          <w:rFonts w:hint="eastAsia" w:ascii="仿宋_GB2312" w:hAnsi="仿宋_GB2312" w:eastAsia="仿宋_GB2312" w:cs="仿宋_GB2312"/>
          <w:lang w:val="en-US" w:eastAsia="zh-CN"/>
        </w:rPr>
        <w:t>Ⅱ</w:t>
      </w:r>
      <w:r>
        <w:rPr>
          <w:rFonts w:hint="eastAsia"/>
          <w:lang w:val="en-US" w:eastAsia="zh-CN"/>
        </w:rPr>
        <w:t>类水标准，支流达到或优于</w:t>
      </w:r>
      <w:r>
        <w:rPr>
          <w:rFonts w:hint="eastAsia" w:ascii="仿宋_GB2312" w:hAnsi="仿宋_GB2312" w:eastAsia="仿宋_GB2312" w:cs="仿宋_GB2312"/>
          <w:lang w:val="en-US" w:eastAsia="zh-CN"/>
        </w:rPr>
        <w:t>Ⅲ</w:t>
      </w:r>
      <w:r>
        <w:rPr>
          <w:rFonts w:hint="eastAsia" w:ascii="仿宋_GB2312" w:hAnsi="仿宋_GB2312" w:cs="仿宋_GB2312"/>
          <w:lang w:val="en-US" w:eastAsia="zh-CN"/>
        </w:rPr>
        <w:t>类，</w:t>
      </w:r>
      <w:r>
        <w:rPr>
          <w:rFonts w:hint="eastAsia"/>
          <w:lang w:val="en-US" w:eastAsia="zh-CN"/>
        </w:rPr>
        <w:t>水质优良率100%。</w:t>
      </w:r>
    </w:p>
    <w:p w14:paraId="56E6238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三是持续</w:t>
      </w:r>
      <w:r>
        <w:rPr>
          <w:rFonts w:hint="default"/>
          <w:lang w:val="en-US" w:eastAsia="zh-CN"/>
        </w:rPr>
        <w:t>压实河长责任。通过年度考核压实各级河长责任，确保计划、项目、资金、责任“四落实”。建立并依托“中国赤水河流域生态文明建设协作推进会”平台，与毕节市、云南昭通市、四川泸州市构建省、市、县三级政协联动协作机制。通过联合视察、联席会议、保护宣传周等活动，凝聚共识，协同解决跨区域共性难题，形成流域</w:t>
      </w:r>
      <w:r>
        <w:rPr>
          <w:rFonts w:hint="eastAsia"/>
          <w:lang w:val="en-US" w:eastAsia="zh-CN"/>
        </w:rPr>
        <w:t>保护</w:t>
      </w:r>
      <w:r>
        <w:rPr>
          <w:rFonts w:hint="default"/>
          <w:lang w:val="en-US" w:eastAsia="zh-CN"/>
        </w:rPr>
        <w:t>合力。</w:t>
      </w:r>
    </w:p>
    <w:p w14:paraId="167165A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四是强化水资源刚性约束</w:t>
      </w:r>
      <w:r>
        <w:rPr>
          <w:rFonts w:hint="default" w:ascii="Times New Roman" w:hAnsi="Times New Roman" w:cs="Times New Roman"/>
          <w:lang w:val="en-US" w:eastAsia="zh-CN"/>
        </w:rPr>
        <w:t>。在赤水河干流</w:t>
      </w:r>
      <w:r>
        <w:rPr>
          <w:rFonts w:hint="eastAsia" w:ascii="Times New Roman" w:hAnsi="Times New Roman" w:cs="Times New Roman"/>
          <w:lang w:val="en-US" w:eastAsia="zh-CN"/>
        </w:rPr>
        <w:t>及主要支流全国探索创新利用卫星遥感监测取水口，有力维护良好的用水秩序，推动了水资源管理向精细化、智能化方向发展。沿岸酒企强化水资源管理，</w:t>
      </w:r>
      <w:r>
        <w:rPr>
          <w:rFonts w:hint="eastAsia" w:cs="Times New Roman"/>
          <w:lang w:val="en-US" w:eastAsia="zh-CN"/>
        </w:rPr>
        <w:t>茅台集团</w:t>
      </w:r>
      <w:r>
        <w:rPr>
          <w:rFonts w:hint="eastAsia" w:ascii="Times New Roman" w:hAnsi="Times New Roman" w:cs="Times New Roman"/>
          <w:lang w:val="en-US" w:eastAsia="zh-CN"/>
        </w:rPr>
        <w:t>全面实现制酒生产冷却水循环利用，丰富完善风冷、中水回用等节水举措，冷却水循环利用率超87%。</w:t>
      </w:r>
      <w:r>
        <w:rPr>
          <w:rFonts w:hint="default" w:ascii="Times New Roman" w:hAnsi="Times New Roman" w:cs="Times New Roman"/>
          <w:lang w:val="en-US" w:eastAsia="zh-CN"/>
        </w:rPr>
        <w:t>科学有序清理整改小水电</w:t>
      </w:r>
      <w:r>
        <w:rPr>
          <w:rFonts w:hint="eastAsia" w:ascii="Times New Roman" w:hAnsi="Times New Roman" w:cs="Times New Roman"/>
          <w:lang w:val="en-US" w:eastAsia="zh-CN"/>
        </w:rPr>
        <w:t>，</w:t>
      </w:r>
      <w:r>
        <w:rPr>
          <w:rFonts w:hint="default" w:ascii="Times New Roman" w:hAnsi="Times New Roman" w:cs="Times New Roman"/>
          <w:lang w:val="en-US" w:eastAsia="zh-CN"/>
        </w:rPr>
        <w:t>赤水河贵州段二道河、桐梓河等20多条支流与干流重新连通，鱼类多样性及栖息地恢复、水环境质量等显著改善。</w:t>
      </w:r>
    </w:p>
    <w:p w14:paraId="17C72CB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五是</w:t>
      </w:r>
      <w:r>
        <w:rPr>
          <w:rFonts w:hint="default"/>
          <w:lang w:val="en-US" w:eastAsia="zh-CN"/>
        </w:rPr>
        <w:t>核算</w:t>
      </w:r>
      <w:bookmarkStart w:id="0" w:name="_GoBack"/>
      <w:bookmarkEnd w:id="0"/>
      <w:r>
        <w:rPr>
          <w:rFonts w:hint="default"/>
          <w:lang w:val="en-US" w:eastAsia="zh-CN"/>
        </w:rPr>
        <w:t>生态</w:t>
      </w:r>
      <w:r>
        <w:rPr>
          <w:rFonts w:hint="eastAsia"/>
          <w:lang w:val="en-US" w:eastAsia="zh-CN"/>
        </w:rPr>
        <w:t>转化</w:t>
      </w:r>
      <w:r>
        <w:rPr>
          <w:rFonts w:hint="default"/>
          <w:lang w:val="en-US" w:eastAsia="zh-CN"/>
        </w:rPr>
        <w:t>价值。探索核算流域生态产品价值，明晰其经济价值。构建多元化环保投融资体系</w:t>
      </w:r>
      <w:r>
        <w:rPr>
          <w:rFonts w:hint="eastAsia"/>
          <w:lang w:val="en-US" w:eastAsia="zh-CN"/>
        </w:rPr>
        <w:t>，</w:t>
      </w:r>
      <w:r>
        <w:rPr>
          <w:rFonts w:hint="default"/>
          <w:lang w:val="en-US" w:eastAsia="zh-CN"/>
        </w:rPr>
        <w:t>推动赤水河流域8县市纳入上级森林生态效益补偿范围；引导企业、社会资本参与</w:t>
      </w:r>
      <w:r>
        <w:rPr>
          <w:rFonts w:hint="eastAsia"/>
          <w:lang w:val="en-US" w:eastAsia="zh-CN"/>
        </w:rPr>
        <w:t>流域治理保护，</w:t>
      </w:r>
      <w:r>
        <w:rPr>
          <w:rFonts w:hint="default"/>
          <w:lang w:val="en-US" w:eastAsia="zh-CN"/>
        </w:rPr>
        <w:t>整合各部门专项资金用于</w:t>
      </w:r>
      <w:r>
        <w:rPr>
          <w:rFonts w:hint="eastAsia"/>
          <w:lang w:val="en-US" w:eastAsia="zh-CN"/>
        </w:rPr>
        <w:t>河湖保护</w:t>
      </w:r>
      <w:r>
        <w:rPr>
          <w:rFonts w:hint="default"/>
          <w:lang w:val="en-US" w:eastAsia="zh-CN"/>
        </w:rPr>
        <w:t>、产业调整、污染治理等，显著提升</w:t>
      </w:r>
      <w:r>
        <w:rPr>
          <w:rFonts w:hint="eastAsia"/>
          <w:lang w:val="en-US" w:eastAsia="zh-CN"/>
        </w:rPr>
        <w:t>流域生态环境</w:t>
      </w:r>
      <w:r>
        <w:rPr>
          <w:rFonts w:hint="default"/>
          <w:lang w:val="en-US" w:eastAsia="zh-CN"/>
        </w:rPr>
        <w:t>。</w:t>
      </w:r>
    </w:p>
    <w:p w14:paraId="70B1D15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center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5400040" cy="3959860"/>
            <wp:effectExtent l="0" t="0" r="10160" b="2540"/>
            <wp:docPr id="1" name="图片 1" descr="2023年6月26日赤水河少量涨水时的的两河口(上)水文站。 摄影 何思东 (2)电话：182755773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023年6月26日赤水河少量涨水时的的两河口(上)水文站。 摄影 何思东 (2)电话：18275577337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959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5A32D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center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赤水河两河口（上）水文站</w:t>
      </w:r>
    </w:p>
    <w:p w14:paraId="7176392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default" w:ascii="黑体" w:hAnsi="黑体" w:eastAsia="黑体" w:cs="黑体"/>
          <w:color w:val="auto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0"/>
          <w:szCs w:val="30"/>
          <w:lang w:val="en-US" w:eastAsia="zh-CN"/>
        </w:rPr>
        <w:t>经验启示</w:t>
      </w:r>
    </w:p>
    <w:p w14:paraId="55C4CEDA">
      <w:pPr>
        <w:bidi w:val="0"/>
        <w:rPr>
          <w:rFonts w:hint="default"/>
          <w:lang w:val="en-US" w:eastAsia="zh-CN"/>
        </w:rPr>
      </w:pPr>
      <w:r>
        <w:t>一是坚持法治思维，用足用好地方立法权，把生态补偿政策固化为法规条文，确保机制稳定可持续。</w:t>
      </w:r>
      <w:r>
        <w:rPr>
          <w:rFonts w:hint="default"/>
        </w:rPr>
        <w:t>二是坚持协同治理，打破行政区划壁垒，通过“河长制”+政协联动，把上下游、左右岸拧成“一股绳”。三是坚持科技赋能，以数字化、智能化手段提升监管精度，降低行政成本，实现“技防”与“人防”互补。四是坚持价值转化，把“绿水青山”量化为可交易、可补偿的“金山银山”，让保护者受益、使用者付费、破坏者赔偿，形成良性循环。五是坚持产业反哺，引导白酒、旅游等优势产业将部分收益反哺生态保护，实现生态价值与经济价值双提升，为其他跨省流域开展生态补偿提供了可复制、可推广的“赤水河样本”。</w:t>
      </w:r>
    </w:p>
    <w:p w14:paraId="378E2B4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0"/>
          <w:szCs w:val="30"/>
          <w:lang w:val="en-US" w:eastAsia="zh-CN"/>
        </w:rPr>
      </w:pPr>
    </w:p>
    <w:p w14:paraId="6ECA5E9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F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B9E0B72-1367-41C3-8A2E-BE3058D12F2F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3F0237A7-5910-4A5A-9BAB-C358290640A0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8067FB"/>
    <w:rsid w:val="088A119C"/>
    <w:rsid w:val="0AE5328A"/>
    <w:rsid w:val="0D484B0C"/>
    <w:rsid w:val="0DC16864"/>
    <w:rsid w:val="0FC401FA"/>
    <w:rsid w:val="159D7523"/>
    <w:rsid w:val="181F06C4"/>
    <w:rsid w:val="20D444FE"/>
    <w:rsid w:val="22B16A89"/>
    <w:rsid w:val="22FF3DB9"/>
    <w:rsid w:val="25267C49"/>
    <w:rsid w:val="277420AE"/>
    <w:rsid w:val="355E1EED"/>
    <w:rsid w:val="376264EC"/>
    <w:rsid w:val="3B506C62"/>
    <w:rsid w:val="3D197528"/>
    <w:rsid w:val="3D2757A1"/>
    <w:rsid w:val="451A4F5B"/>
    <w:rsid w:val="46623CEE"/>
    <w:rsid w:val="4AEF18D3"/>
    <w:rsid w:val="58B54151"/>
    <w:rsid w:val="5B7B6C5E"/>
    <w:rsid w:val="5DC57B01"/>
    <w:rsid w:val="62F2750C"/>
    <w:rsid w:val="65C21C5B"/>
    <w:rsid w:val="65FF1B98"/>
    <w:rsid w:val="680B353F"/>
    <w:rsid w:val="728216C5"/>
    <w:rsid w:val="7392092F"/>
    <w:rsid w:val="76513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ind w:firstLine="200" w:firstLineChars="200"/>
      <w:jc w:val="both"/>
    </w:pPr>
    <w:rPr>
      <w:rFonts w:ascii="Times New Roman" w:hAnsi="Times New Roman" w:eastAsia="仿宋_GB2312" w:cs="Times New Roman"/>
      <w:kern w:val="2"/>
      <w:sz w:val="32"/>
      <w:szCs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line="560" w:lineRule="exact"/>
      <w:jc w:val="left"/>
      <w:outlineLvl w:val="1"/>
    </w:pPr>
    <w:rPr>
      <w:rFonts w:ascii="Times New Roman" w:hAnsi="Times New Roman" w:eastAsia="楷体" w:cs="Times New Roman"/>
      <w:sz w:val="32"/>
      <w:szCs w:val="32"/>
    </w:rPr>
  </w:style>
  <w:style w:type="paragraph" w:styleId="3">
    <w:name w:val="heading 3"/>
    <w:basedOn w:val="1"/>
    <w:next w:val="1"/>
    <w:unhideWhenUsed/>
    <w:qFormat/>
    <w:uiPriority w:val="0"/>
    <w:pPr>
      <w:spacing w:line="360" w:lineRule="auto"/>
      <w:jc w:val="left"/>
      <w:outlineLvl w:val="2"/>
    </w:pPr>
    <w:rPr>
      <w:rFonts w:ascii="仿宋_GB2312" w:hAnsi="仿宋_GB2312" w:eastAsia="仿宋_GB2312" w:cs="仿宋_GB2312"/>
      <w:b/>
      <w:bCs/>
      <w:sz w:val="28"/>
      <w:szCs w:val="28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Emphasis"/>
    <w:basedOn w:val="5"/>
    <w:qFormat/>
    <w:uiPriority w:val="0"/>
    <w:rPr>
      <w:i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1390</Words>
  <Characters>1420</Characters>
  <Lines>0</Lines>
  <Paragraphs>0</Paragraphs>
  <TotalTime>7</TotalTime>
  <ScaleCrop>false</ScaleCrop>
  <LinksUpToDate>false</LinksUpToDate>
  <CharactersWithSpaces>1421</CharactersWithSpaces>
  <Application>WPS Office_12.8.2.17148_F1E327BC-269C-435d-A152-05C5408002CA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2025-08-13T08:00:00Z</dcterms:created>
  <dc:creator>lenvov</dc:creator>
  <cp:lastModifiedBy>609</cp:lastModifiedBy>
  <dcterms:modified xsi:type="dcterms:W3CDTF">2025-08-15T07:03:09Z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2052-12.8.2.17148</vt:lpwstr>
  </property>
  <property fmtid="{D5CDD505-2E9C-101B-9397-08002B2CF9AE}" pid="3" name="KSOTemplateDocerSaveRecord">
    <vt:lpwstr>eyJoZGlkIjoiMjRlZmI5NzM2YWI4NjYyYmUyYWYyNzhiNTU5ZTNlZDUiLCJ1c2VySWQiOiI0OTE4ODA3MjkifQ==</vt:lpwstr>
  </property>
  <property fmtid="{D5CDD505-2E9C-101B-9397-08002B2CF9AE}" pid="4" name="ICV">
    <vt:lpwstr>BBBCF3DD5B724FC2AE0ED15CC35CB446_13</vt:lpwstr>
  </property>
</Properties>
</file>