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F7E2A99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center"/>
        <w:textAlignment w:val="auto"/>
        <w:rPr>
          <w:rFonts w:hint="eastAsia" w:ascii="方正小标宋简体" w:hAnsi="方正小标宋简体" w:eastAsia="方正小标宋简体" w:cs="方正小标宋简体"/>
          <w:color w:val="auto"/>
          <w:sz w:val="44"/>
          <w:szCs w:val="44"/>
          <w:lang w:val="en-US" w:eastAsia="zh-CN"/>
        </w:rPr>
      </w:pPr>
      <w:bookmarkStart w:id="0" w:name="_GoBack"/>
      <w:r>
        <w:rPr>
          <w:rFonts w:hint="eastAsia" w:ascii="方正小标宋简体" w:hAnsi="方正小标宋简体" w:eastAsia="方正小标宋简体" w:cs="方正小标宋简体"/>
          <w:color w:val="auto"/>
          <w:sz w:val="44"/>
          <w:szCs w:val="44"/>
          <w:lang w:val="en-US" w:eastAsia="zh-CN"/>
        </w:rPr>
        <w:t>赤水市 一库碧水浇灌百姓“幸福泉”</w:t>
      </w:r>
      <w:bookmarkEnd w:id="0"/>
    </w:p>
    <w:p w14:paraId="2F9EBF32">
      <w:pPr>
        <w:bidi w:val="0"/>
        <w:rPr>
          <w:rFonts w:hint="eastAsia"/>
          <w:lang w:val="en-US" w:eastAsia="zh-CN"/>
        </w:rPr>
      </w:pPr>
    </w:p>
    <w:p w14:paraId="545337AB"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赤水市地处贵州西北部，生态资源丰富。蕨基坝水库位于该市葫市镇，是一座以灌溉、防洪为主的小（一）型水库。库区森林覆盖率超95%，风光秀美，水质优良，属中亚热带季风气候。为盘活水资源，实现其高效益转化，赤水市依托水库探索“以水养水”模式，通过发展水生态产业反哺水资源保护与管理，实现水生态产品价值。</w:t>
      </w:r>
    </w:p>
    <w:p w14:paraId="21A2450B">
      <w:pPr>
        <w:bidi w:val="0"/>
        <w:spacing w:line="240" w:lineRule="auto"/>
        <w:ind w:left="0" w:leftChars="0" w:firstLine="0" w:firstLineChars="0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400040" cy="3959860"/>
            <wp:effectExtent l="0" t="0" r="10160" b="2540"/>
            <wp:docPr id="2" name="图片 1" descr="IMG_2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IMG_256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9598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258A0E3A">
      <w:pPr>
        <w:bidi w:val="0"/>
        <w:spacing w:line="240" w:lineRule="auto"/>
        <w:ind w:left="0" w:leftChars="0" w:firstLine="0" w:firstLineChars="0"/>
        <w:jc w:val="center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default" w:ascii="宋体" w:hAnsi="宋体" w:eastAsia="宋体" w:cs="宋体"/>
          <w:sz w:val="24"/>
          <w:szCs w:val="24"/>
          <w:lang w:val="en-US" w:eastAsia="zh-CN"/>
        </w:rPr>
        <w:t>蕨基坝水库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库区</w:t>
      </w:r>
    </w:p>
    <w:p w14:paraId="7B0C9077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textAlignment w:val="auto"/>
        <w:rPr>
          <w:rFonts w:hint="default" w:ascii="黑体" w:hAnsi="黑体" w:eastAsia="黑体" w:cs="黑体"/>
          <w:color w:val="auto"/>
          <w:sz w:val="30"/>
          <w:szCs w:val="30"/>
          <w:lang w:val="en-US" w:eastAsia="zh-CN"/>
        </w:rPr>
      </w:pPr>
      <w:r>
        <w:rPr>
          <w:rFonts w:hint="eastAsia" w:ascii="黑体" w:hAnsi="黑体" w:eastAsia="黑体" w:cs="黑体"/>
          <w:color w:val="auto"/>
          <w:sz w:val="30"/>
          <w:szCs w:val="30"/>
          <w:lang w:val="en-US" w:eastAsia="zh-CN"/>
        </w:rPr>
        <w:t>主要做法</w:t>
      </w:r>
    </w:p>
    <w:p w14:paraId="64A1C074"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一是坚持生态优先，筑牢保护根基。践行“美丽赤水 拒绝污染”理念，将水资源保护置于首位。划定水库开发红线，投入400万元实施库周水土保持工程，新增经果林14公顷并配套高效节水灌溉，治理水土流失，提升灌溉效率。严禁网箱养殖，实施污水处理项目确保生活污水达标排放，有效保护了水库“水天一色、碧波万顷”的优良水质与生态景观。</w:t>
      </w:r>
    </w:p>
    <w:p w14:paraId="7A09D3D2"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二是深化水价改革，提升利用效能。统筹推进农业水价综合改革，出台《农业用水价格管理办法》及《实施方案》，建立合理水价形成机制，促进农业节水，保障工程良性运行。编制完善“一库一策”，推广节水器具，发展节水农业。投入255万元实施水库连通工程，对26.5公里主干渠进行节水改造并安装在线计量设施，提升灌溉水利用率，恢复灌溉面积0.68万亩，兼顾了农业用水与旅游景观需求。</w:t>
      </w:r>
    </w:p>
    <w:p w14:paraId="3C8C6317"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三是强化制度约束，保障持续利用。成立天岛湖水利风景区管委会，分管市领导任主任，由水库管理单位旺隆水利工程管理所负责日常运维。建立严格的水资源管理制度，运用在线计量管理系统，通过手机App对农业灌溉水量实行实时在线监测、查询和分析，提升管理精细化水平。严格执行水资源论证、取水许可管理和刚性用水指标，加强用水统计调查，抑制不合理需求，为水资源可持续利用提供坚实制度保障。</w:t>
      </w:r>
    </w:p>
    <w:p w14:paraId="29B986A8"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四是规划引领，强化顶层设计。赤水市立足水库生态优势，科学编制《赤水市天岛湖国际旅游度假区规划》，以“一廊、两核、三区”（即水库发展廊，服务管理核与旅游观光核，休闲度假区、生态游览区、滨湖游乐区）为布局，建成总面积3.2平方公里（水域0.24平方公里）的天岛湖水利风景区。</w:t>
      </w:r>
    </w:p>
    <w:p w14:paraId="0F16C2C9">
      <w:pPr>
        <w:bidi w:val="0"/>
        <w:spacing w:line="240" w:lineRule="auto"/>
        <w:ind w:left="0" w:leftChars="0" w:firstLine="0" w:firstLineChars="0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400040" cy="3274695"/>
            <wp:effectExtent l="0" t="0" r="10160" b="1905"/>
            <wp:docPr id="4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 descr="IMG_25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2746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7B72DC48">
      <w:pPr>
        <w:bidi w:val="0"/>
        <w:spacing w:line="240" w:lineRule="auto"/>
        <w:ind w:left="0" w:leftChars="0" w:firstLine="0" w:firstLineChars="0"/>
        <w:jc w:val="center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515151"/>
          <w:spacing w:val="0"/>
          <w:sz w:val="24"/>
          <w:szCs w:val="24"/>
          <w:shd w:val="clear" w:fill="FFFFFF"/>
        </w:rPr>
        <w:t>酒店、商业街等滨水建筑环湖而立</w:t>
      </w:r>
    </w:p>
    <w:p w14:paraId="7176392B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600" w:firstLineChars="200"/>
        <w:textAlignment w:val="auto"/>
        <w:rPr>
          <w:rFonts w:hint="default" w:ascii="黑体" w:hAnsi="黑体" w:eastAsia="黑体" w:cs="黑体"/>
          <w:color w:val="auto"/>
          <w:sz w:val="30"/>
          <w:szCs w:val="30"/>
          <w:lang w:val="en-US" w:eastAsia="zh-CN"/>
        </w:rPr>
      </w:pPr>
      <w:r>
        <w:rPr>
          <w:rFonts w:hint="eastAsia" w:ascii="黑体" w:hAnsi="黑体" w:eastAsia="黑体" w:cs="黑体"/>
          <w:color w:val="auto"/>
          <w:sz w:val="30"/>
          <w:szCs w:val="30"/>
          <w:lang w:val="en-US" w:eastAsia="zh-CN"/>
        </w:rPr>
        <w:t>经验启示</w:t>
      </w:r>
    </w:p>
    <w:p w14:paraId="0EDA0575"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一是保护与发展并重，激活生态价值。本案例的核心在于“以水养水”，即通过科学保护提升水生态品质，依托优质水资源发展生态旅游，再将旅游收益反哺于水资源保护与管理，形成“保护-增值-反哺”的良性循环，将生态优势转化为经济优势，实现水生态产品价值。</w:t>
      </w:r>
    </w:p>
    <w:p w14:paraId="11F7D231"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二是因地制宜是前提，科学规划是基础。赤水市立足水库独特的自然风光和气候条件，通过高起点规划，明确了生态旅游的发展路径，充分挖掘了水生态景观的休闲旅游价值。</w:t>
      </w:r>
    </w:p>
    <w:p w14:paraId="243FCB7B"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三是改革创新是关键，精细管理是支撑。通过农业水价综合改革、节水技术改造、连通工程等举措，显著提高了水资源利用效率和效益，为“以水养水”提供了内在动力和物质基础。严格的制度则确保了水资源管理的刚性和可持续性。</w:t>
      </w:r>
    </w:p>
    <w:p w14:paraId="70057D91"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四是多方协同是保障，共建共享是目标。政府主导规划、出台政策、严格监管；企业投资开发运营，创造经济效益。良好生态资源引导公众旅游消费，促进就业增收，有效助力乡村振兴，实现了生态效益、经济效益与社会效益的统一。</w:t>
      </w:r>
    </w:p>
    <w:p w14:paraId="6ECA5E9D">
      <w:pPr>
        <w:bidi w:val="0"/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640"/>
      </w:pPr>
      <w:r>
        <w:separator/>
      </w:r>
    </w:p>
  </w:endnote>
  <w:endnote w:type="continuationSeparator" w:id="1">
    <w:p>
      <w:pPr>
        <w:spacing w:line="240" w:lineRule="auto"/>
        <w:ind w:firstLine="64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1" w:fontKey="{02C1AF7B-98C8-4C46-99BE-4389011C6C8A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方正公文小标宋">
    <w:panose1 w:val="02000500000000000000"/>
    <w:charset w:val="86"/>
    <w:family w:val="auto"/>
    <w:pitch w:val="default"/>
    <w:sig w:usb0="A00002BF" w:usb1="38CF7CFA" w:usb2="00000016" w:usb3="00000000" w:csb0="00040001" w:csb1="00000000"/>
  </w:font>
  <w:font w:name="楷体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2" w:fontKey="{20C75ABA-08BB-47B6-A01D-D709B242310D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  <w:ind w:firstLine="640"/>
      </w:pPr>
      <w:r>
        <w:separator/>
      </w:r>
    </w:p>
  </w:footnote>
  <w:footnote w:type="continuationSeparator" w:id="1">
    <w:p>
      <w:pPr>
        <w:spacing w:line="240" w:lineRule="auto"/>
        <w:ind w:firstLine="64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doNotDisplayPageBoundaries w:val="1"/>
  <w:embedTrueTypeFonts/>
  <w:saveSubset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0FB6A24"/>
    <w:rsid w:val="01A50BD1"/>
    <w:rsid w:val="059168B8"/>
    <w:rsid w:val="072D7CE9"/>
    <w:rsid w:val="07E643FF"/>
    <w:rsid w:val="088A119C"/>
    <w:rsid w:val="0FC401FA"/>
    <w:rsid w:val="12711709"/>
    <w:rsid w:val="15415E49"/>
    <w:rsid w:val="181F06C4"/>
    <w:rsid w:val="19BE5CBA"/>
    <w:rsid w:val="1BEC5803"/>
    <w:rsid w:val="21BE719F"/>
    <w:rsid w:val="22FF3DB9"/>
    <w:rsid w:val="24FA6740"/>
    <w:rsid w:val="277420AE"/>
    <w:rsid w:val="2EB374AE"/>
    <w:rsid w:val="2F2D14C0"/>
    <w:rsid w:val="3078546E"/>
    <w:rsid w:val="31CC4FC0"/>
    <w:rsid w:val="34A71D15"/>
    <w:rsid w:val="5B967928"/>
    <w:rsid w:val="5DC57B01"/>
    <w:rsid w:val="600A2FD4"/>
    <w:rsid w:val="61725663"/>
    <w:rsid w:val="62F2750C"/>
    <w:rsid w:val="64C27B3B"/>
    <w:rsid w:val="65C21C5B"/>
    <w:rsid w:val="65FF1B98"/>
    <w:rsid w:val="7392092F"/>
    <w:rsid w:val="75C23ADA"/>
    <w:rsid w:val="765137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560" w:lineRule="exact"/>
      <w:ind w:firstLine="200" w:firstLineChars="200"/>
      <w:jc w:val="both"/>
    </w:pPr>
    <w:rPr>
      <w:rFonts w:ascii="Times New Roman" w:hAnsi="Times New Roman" w:eastAsia="仿宋_GB2312" w:cs="Times New Roman"/>
      <w:kern w:val="2"/>
      <w:sz w:val="32"/>
      <w:szCs w:val="21"/>
      <w:lang w:val="en-US" w:eastAsia="zh-CN" w:bidi="ar-SA"/>
    </w:rPr>
  </w:style>
  <w:style w:type="paragraph" w:styleId="2">
    <w:name w:val="heading 2"/>
    <w:basedOn w:val="1"/>
    <w:next w:val="1"/>
    <w:unhideWhenUsed/>
    <w:qFormat/>
    <w:uiPriority w:val="0"/>
    <w:pPr>
      <w:spacing w:line="560" w:lineRule="exact"/>
      <w:jc w:val="left"/>
      <w:outlineLvl w:val="1"/>
    </w:pPr>
    <w:rPr>
      <w:rFonts w:ascii="Times New Roman" w:hAnsi="Times New Roman" w:eastAsia="楷体" w:cs="Times New Roman"/>
      <w:sz w:val="32"/>
      <w:szCs w:val="32"/>
    </w:rPr>
  </w:style>
  <w:style w:type="paragraph" w:styleId="3">
    <w:name w:val="heading 3"/>
    <w:basedOn w:val="1"/>
    <w:next w:val="1"/>
    <w:unhideWhenUsed/>
    <w:qFormat/>
    <w:uiPriority w:val="0"/>
    <w:pPr>
      <w:spacing w:line="360" w:lineRule="auto"/>
      <w:jc w:val="left"/>
      <w:outlineLvl w:val="2"/>
    </w:pPr>
    <w:rPr>
      <w:rFonts w:ascii="仿宋_GB2312" w:hAnsi="仿宋_GB2312" w:eastAsia="仿宋_GB2312" w:cs="仿宋_GB2312"/>
      <w:b/>
      <w:bCs/>
      <w:sz w:val="28"/>
      <w:szCs w:val="28"/>
    </w:rPr>
  </w:style>
  <w:style w:type="character" w:default="1" w:styleId="6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styleId="7">
    <w:name w:val="Strong"/>
    <w:basedOn w:val="6"/>
    <w:qFormat/>
    <w:uiPriority w:val="0"/>
    <w:rPr>
      <w:b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1540</Words>
  <Characters>1574</Characters>
  <Lines>0</Lines>
  <Paragraphs>0</Paragraphs>
  <TotalTime>17</TotalTime>
  <ScaleCrop>false</ScaleCrop>
  <LinksUpToDate>false</LinksUpToDate>
  <CharactersWithSpaces>1575</CharactersWithSpaces>
  <Application>WPS Office_12.1.0.20784_F1E327BC-269C-435d-A152-05C5408002CA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2025-08-13T08:00:00Z</dcterms:created>
  <dc:creator>lenvov</dc:creator>
  <cp:lastModifiedBy>user</cp:lastModifiedBy>
  <dcterms:modified xsi:type="dcterms:W3CDTF">2025-08-14T15:58:13Z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2052-12.1.0.20784</vt:lpwstr>
  </property>
  <property fmtid="{D5CDD505-2E9C-101B-9397-08002B2CF9AE}" pid="3" name="KSOTemplateDocerSaveRecord">
    <vt:lpwstr>eyJoZGlkIjoiMjRlZmI5NzM2YWI4NjYyYmUyYWYyNzhiNTU5ZTNlZDUiLCJ1c2VySWQiOiI0OTE4ODA3MjkifQ==</vt:lpwstr>
  </property>
  <property fmtid="{D5CDD505-2E9C-101B-9397-08002B2CF9AE}" pid="4" name="ICV">
    <vt:lpwstr>D0D5CA4D05A44E10991A54D5DAAACB8D_12</vt:lpwstr>
  </property>
</Properties>
</file>