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2A9C1C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z w:val="44"/>
          <w:szCs w:val="44"/>
          <w:lang w:val="en-US" w:eastAsia="zh-CN"/>
        </w:rPr>
        <w:t>铜仁市江口县 生态活水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z w:val="44"/>
          <w:szCs w:val="44"/>
          <w:lang w:val="en-US" w:eastAsia="zh-CN"/>
        </w:rPr>
        <w:t>兴业惠民</w:t>
      </w:r>
    </w:p>
    <w:p w14:paraId="029ED7E2">
      <w:pPr>
        <w:bidi w:val="0"/>
        <w:rPr>
          <w:rFonts w:hint="eastAsia"/>
          <w:lang w:val="en-US" w:eastAsia="zh-CN"/>
        </w:rPr>
      </w:pPr>
    </w:p>
    <w:p w14:paraId="132E56C2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江口县位于贵州省东北部武陵山区，属国家重点生态功能区及长江中上游重要生态屏障。县域水系发达，拥有4条主要河流、99条溪流及4.5亿立方米地下水资源（冷水资源超1亿立方米），水质均达Ⅱ类以上，富含微量元素，生态禀赋突出。近年来，该县深入践行“两山”理念，以完善现代水利体系为核心，探索水生态产品价值实现路径，取得显著成效。</w:t>
      </w:r>
    </w:p>
    <w:p w14:paraId="147F5712">
      <w:pPr>
        <w:bidi w:val="0"/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400040" cy="3959860"/>
            <wp:effectExtent l="0" t="0" r="10160" b="2540"/>
            <wp:docPr id="3" name="图片 3" descr="铜仁市江口县太平河。潘希来 摄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铜仁市江口县太平河。潘希来 摄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BF085">
      <w:pPr>
        <w:bidi w:val="0"/>
        <w:spacing w:line="240" w:lineRule="auto"/>
        <w:ind w:left="0" w:leftChars="0" w:firstLine="0" w:firstLineChars="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江口县太平河河道治理后</w:t>
      </w:r>
    </w:p>
    <w:p w14:paraId="7B0C907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主要做法</w:t>
      </w:r>
    </w:p>
    <w:p w14:paraId="38B342B8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一是</w:t>
      </w:r>
      <w:r>
        <w:rPr>
          <w:rFonts w:hint="default"/>
          <w:lang w:val="en-US" w:eastAsia="zh-CN"/>
        </w:rPr>
        <w:t>创新机制，打通生态价值转化路径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建立县域GEP核算体系（3类15项指标），完成水生态资产确权登记，形成全县生态产品数据库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首创"梵净生态账户"，将水质保护成效转化为"生态积分"，联动金融机构发放绿色贷款1.2亿元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设立梵净山巡回法庭、生态检察室，办理公益诉讼案件27件，筑牢制度防线。</w:t>
      </w:r>
    </w:p>
    <w:p w14:paraId="28A0AA21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二是</w:t>
      </w:r>
      <w:r>
        <w:rPr>
          <w:rFonts w:hint="default"/>
          <w:lang w:val="en-US" w:eastAsia="zh-CN"/>
        </w:rPr>
        <w:t>系统治水，构建现代水利体系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投资3.8亿元实施国家试点项目，完成太平河、闵孝河等57.35公里河道清淤疏浚、岸坡生态化改造；建成小型水库19座（总库容1062.42万立方米），实施灌区节水改造，灌溉水利用系数提升至0.68；建立河湖智能监测系统，实现19座水库、4条主干河流动态监管全覆盖。</w:t>
      </w:r>
    </w:p>
    <w:p w14:paraId="546EF01E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三是</w:t>
      </w:r>
      <w:r>
        <w:rPr>
          <w:rFonts w:hint="default"/>
          <w:lang w:val="en-US" w:eastAsia="zh-CN"/>
        </w:rPr>
        <w:t>产业赋能，激活水经济价值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做强冷水鱼产业链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建成生态养殖基地38个（冷水鱼基地17个），创新"龙头企业+合作社+农户"模式；年产鲟鱼苗1500万尾，商品鱼6430吨，年产值1.81亿元，带动2100户农户户均增收2.1万元。打造高端水产业集群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培育饮用水企业7家（规模以上2家），建成生产线10条；依托"贵水黔鱼"品牌，开发高锶、富硒特色产品，年产能184万吨，占全省高端水市场35%份额。</w:t>
      </w:r>
    </w:p>
    <w:p w14:paraId="6F5048D0">
      <w:pPr>
        <w:bidi w:val="0"/>
        <w:spacing w:line="240" w:lineRule="auto"/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0040" cy="3959860"/>
            <wp:effectExtent l="0" t="0" r="10160" b="2540"/>
            <wp:docPr id="2" name="图片 2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9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716E499">
      <w:pPr>
        <w:bidi w:val="0"/>
        <w:spacing w:line="240" w:lineRule="auto"/>
        <w:ind w:left="0" w:leftChars="0" w:firstLine="0" w:firstLineChars="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江口县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冷水鱼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养殖基地</w:t>
      </w:r>
    </w:p>
    <w:p w14:paraId="7176392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经验启示</w:t>
      </w:r>
    </w:p>
    <w:p w14:paraId="75556EA3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一是</w:t>
      </w:r>
      <w:r>
        <w:rPr>
          <w:rFonts w:hint="default"/>
          <w:lang w:val="en-US" w:eastAsia="zh-CN"/>
        </w:rPr>
        <w:t>机制创新是价值转化的核心引擎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建立"GEP核算+生态账户+法治保障"三位一体机制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破解生态资源"度量难、抵押难、交易难"问题，实现"绿水青山"可量化、可变现、可持续</w:t>
      </w:r>
    </w:p>
    <w:p w14:paraId="031601F1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二是</w:t>
      </w:r>
      <w:r>
        <w:rPr>
          <w:rFonts w:hint="default"/>
          <w:lang w:val="en-US" w:eastAsia="zh-CN"/>
        </w:rPr>
        <w:t>系统治理是水利现代化的根本路径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坚持水系连通、水网建设、智慧监管同步推进，以57公里生态河道为脉络，串联水资源调配、水灾害防御、水生态修复功能，筑牢现代水利体系根基。</w:t>
      </w:r>
    </w:p>
    <w:p w14:paraId="67B13233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三是</w:t>
      </w:r>
      <w:r>
        <w:rPr>
          <w:rFonts w:hint="default"/>
          <w:lang w:val="en-US" w:eastAsia="zh-CN"/>
        </w:rPr>
        <w:t>特色产业是资源变现的关键载体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立足冷水资源独特性，聚焦高附加值水产业：纵向延伸冷水鱼苗种培育、精深加工链条，提升产业韧性；横拓展高端水、水文旅业态，打造"水经济"增长极，实现资源溢价增值。</w:t>
      </w:r>
    </w:p>
    <w:p w14:paraId="1795F82F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四是</w:t>
      </w:r>
      <w:r>
        <w:rPr>
          <w:rFonts w:hint="default"/>
          <w:lang w:val="en-US" w:eastAsia="zh-CN"/>
        </w:rPr>
        <w:t>共建共享是可持续发展的持久动力</w:t>
      </w:r>
      <w:r>
        <w:rPr>
          <w:rFonts w:hint="eastAsia"/>
          <w:lang w:val="en-US" w:eastAsia="zh-CN"/>
        </w:rPr>
        <w:t>。</w:t>
      </w:r>
      <w:r>
        <w:rPr>
          <w:rFonts w:hint="default"/>
          <w:lang w:val="en-US" w:eastAsia="zh-CN"/>
        </w:rPr>
        <w:t>通过"生态积分分红""合作社入股"等模式，将38个养殖基地、7家水企转化为富民平台，形成"治水兴产—产业富民—全民护水"良性循环。</w:t>
      </w:r>
    </w:p>
    <w:p w14:paraId="67798DEE">
      <w:pPr>
        <w:bidi w:val="0"/>
        <w:rPr>
          <w:rFonts w:hint="default"/>
          <w:lang w:val="en-US" w:eastAsia="zh-CN"/>
        </w:rPr>
      </w:pPr>
    </w:p>
    <w:p w14:paraId="3E1DC124">
      <w:pPr>
        <w:bidi w:val="0"/>
        <w:rPr>
          <w:rFonts w:hint="default"/>
          <w:lang w:val="en-US" w:eastAsia="zh-CN"/>
        </w:rPr>
      </w:pPr>
    </w:p>
    <w:p w14:paraId="70659016">
      <w:pPr>
        <w:bidi w:val="0"/>
        <w:rPr>
          <w:rFonts w:hint="default"/>
          <w:lang w:val="en-US" w:eastAsia="zh-CN"/>
        </w:rPr>
      </w:pPr>
    </w:p>
    <w:p w14:paraId="7EB9BE8B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eastAsia="仿宋" w:cs="Times New Roman"/>
          <w:color w:val="auto"/>
          <w:sz w:val="30"/>
          <w:szCs w:val="30"/>
          <w:lang w:val="en-US" w:eastAsia="zh-CN"/>
        </w:rPr>
      </w:pPr>
    </w:p>
    <w:p w14:paraId="56CF2D87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eastAsia="仿宋" w:cs="Times New Roman"/>
          <w:color w:val="auto"/>
          <w:sz w:val="30"/>
          <w:szCs w:val="30"/>
          <w:lang w:val="en-US" w:eastAsia="zh-CN"/>
        </w:rPr>
      </w:pPr>
    </w:p>
    <w:p w14:paraId="6ECA5E9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24192884-3730-42CC-9416-C047ED88F25B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3F5A93F7-6EA8-4ED2-9369-71206B3419E8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33571FCB-A2B9-41DF-9DD3-1CED7ECA7D3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4C2DDC"/>
    <w:rsid w:val="03C03F77"/>
    <w:rsid w:val="07154951"/>
    <w:rsid w:val="07E643FF"/>
    <w:rsid w:val="088A119C"/>
    <w:rsid w:val="0FC401FA"/>
    <w:rsid w:val="15415E49"/>
    <w:rsid w:val="181F06C4"/>
    <w:rsid w:val="19BE5CBA"/>
    <w:rsid w:val="1BEC5803"/>
    <w:rsid w:val="21BE719F"/>
    <w:rsid w:val="22FF3DB9"/>
    <w:rsid w:val="23601022"/>
    <w:rsid w:val="24FA6740"/>
    <w:rsid w:val="25950217"/>
    <w:rsid w:val="277420AE"/>
    <w:rsid w:val="2F2D14C0"/>
    <w:rsid w:val="3078546E"/>
    <w:rsid w:val="34A71D15"/>
    <w:rsid w:val="42380450"/>
    <w:rsid w:val="488A6A77"/>
    <w:rsid w:val="54497003"/>
    <w:rsid w:val="5DC57B01"/>
    <w:rsid w:val="600A2FD4"/>
    <w:rsid w:val="62F2750C"/>
    <w:rsid w:val="63E32F77"/>
    <w:rsid w:val="65C21C5B"/>
    <w:rsid w:val="65FF1B98"/>
    <w:rsid w:val="6A1B79FA"/>
    <w:rsid w:val="7392092F"/>
    <w:rsid w:val="765137FD"/>
    <w:rsid w:val="7ECB0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200" w:firstLineChars="200"/>
      <w:jc w:val="both"/>
    </w:pPr>
    <w:rPr>
      <w:rFonts w:ascii="Times New Roman" w:hAnsi="Times New Roman" w:eastAsia="仿宋_GB2312" w:cs="Times New Roman"/>
      <w:kern w:val="2"/>
      <w:sz w:val="32"/>
      <w:szCs w:val="21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line="560" w:lineRule="exact"/>
      <w:jc w:val="left"/>
      <w:outlineLvl w:val="1"/>
    </w:pPr>
    <w:rPr>
      <w:rFonts w:ascii="Times New Roman" w:hAnsi="Times New Roman" w:eastAsia="楷体" w:cs="Times New Roman"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spacing w:line="360" w:lineRule="auto"/>
      <w:jc w:val="left"/>
      <w:outlineLvl w:val="2"/>
    </w:pPr>
    <w:rPr>
      <w:rFonts w:ascii="仿宋_GB2312" w:hAnsi="仿宋_GB2312" w:eastAsia="仿宋_GB2312" w:cs="仿宋_GB2312"/>
      <w:b/>
      <w:bCs/>
      <w:sz w:val="28"/>
      <w:szCs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986</Words>
  <Characters>1039</Characters>
  <Lines>0</Lines>
  <Paragraphs>0</Paragraphs>
  <TotalTime>14</TotalTime>
  <ScaleCrop>false</ScaleCrop>
  <LinksUpToDate>false</LinksUpToDate>
  <CharactersWithSpaces>1040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2025-08-13T08:00:00Z</dcterms:created>
  <dc:creator>lenvov</dc:creator>
  <cp:lastModifiedBy>user</cp:lastModifiedBy>
  <dcterms:modified xsi:type="dcterms:W3CDTF">2025-08-14T15:19:58Z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eyJoZGlkIjoiMjRlZmI5NzM2YWI4NjYyYmUyYWYyNzhiNTU5ZTNlZDUiLCJ1c2VySWQiOiI0OTE4ODA3MjkifQ==</vt:lpwstr>
  </property>
  <property fmtid="{D5CDD505-2E9C-101B-9397-08002B2CF9AE}" pid="4" name="ICV">
    <vt:lpwstr>D0D5CA4D05A44E10991A54D5DAAACB8D_12</vt:lpwstr>
  </property>
</Properties>
</file>